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21" w:rsidRPr="002A2830" w:rsidRDefault="00123C21" w:rsidP="00A0563E">
      <w:pPr>
        <w:pStyle w:val="ListParagraph"/>
        <w:autoSpaceDE w:val="0"/>
        <w:autoSpaceDN w:val="0"/>
        <w:adjustRightInd w:val="0"/>
        <w:jc w:val="center"/>
        <w:rPr>
          <w:rFonts w:ascii="Cooper Black" w:hAnsi="Cooper Black" w:cs="TheSans-B7Bold"/>
          <w:b/>
          <w:bCs/>
          <w:sz w:val="32"/>
          <w:szCs w:val="32"/>
        </w:rPr>
      </w:pPr>
      <w:r w:rsidRPr="002A2830">
        <w:rPr>
          <w:rFonts w:ascii="Cooper Black" w:hAnsi="Cooper Black" w:cs="TheSans-B7Bold"/>
          <w:b/>
          <w:bCs/>
          <w:sz w:val="32"/>
          <w:szCs w:val="32"/>
        </w:rPr>
        <w:t>FINANCIAL ACCOUNTING II</w:t>
      </w:r>
    </w:p>
    <w:p w:rsidR="00123C21" w:rsidRPr="002A2830" w:rsidRDefault="00123C21" w:rsidP="00A0563E">
      <w:pPr>
        <w:pStyle w:val="ListParagraph"/>
        <w:autoSpaceDE w:val="0"/>
        <w:autoSpaceDN w:val="0"/>
        <w:adjustRightInd w:val="0"/>
        <w:jc w:val="center"/>
        <w:rPr>
          <w:rFonts w:ascii="Cooper Black" w:hAnsi="Cooper Black" w:cs="TheSans-B7Bold"/>
          <w:b/>
          <w:bCs/>
          <w:sz w:val="32"/>
          <w:szCs w:val="32"/>
        </w:rPr>
      </w:pPr>
      <w:r w:rsidRPr="002A2830">
        <w:rPr>
          <w:rFonts w:ascii="Cooper Black" w:hAnsi="Cooper Black" w:cs="TheSans-B7Bold"/>
          <w:b/>
          <w:bCs/>
          <w:sz w:val="32"/>
          <w:szCs w:val="32"/>
        </w:rPr>
        <w:t xml:space="preserve">CHAPTER </w:t>
      </w:r>
      <w:r w:rsidR="00A0563E" w:rsidRPr="002A2830">
        <w:rPr>
          <w:rFonts w:ascii="Cooper Black" w:hAnsi="Cooper Black" w:cs="TheSans-B7Bold"/>
          <w:b/>
          <w:bCs/>
          <w:sz w:val="32"/>
          <w:szCs w:val="32"/>
        </w:rPr>
        <w:t>FIVE</w:t>
      </w:r>
    </w:p>
    <w:p w:rsidR="00123C21" w:rsidRPr="002A2830" w:rsidRDefault="00A0563E" w:rsidP="00A0563E">
      <w:pPr>
        <w:autoSpaceDE w:val="0"/>
        <w:autoSpaceDN w:val="0"/>
        <w:adjustRightInd w:val="0"/>
        <w:ind w:left="0"/>
        <w:jc w:val="center"/>
        <w:rPr>
          <w:rFonts w:ascii="Cooper Black" w:hAnsi="Cooper Black" w:cs="TheSans-B7Bold"/>
          <w:b/>
          <w:bCs/>
          <w:sz w:val="26"/>
          <w:szCs w:val="32"/>
        </w:rPr>
      </w:pPr>
      <w:r w:rsidRPr="002A2830">
        <w:rPr>
          <w:rFonts w:ascii="Cooper Black" w:hAnsi="Cooper Black" w:cs="TheSans-B7Bold"/>
          <w:b/>
          <w:bCs/>
          <w:sz w:val="26"/>
          <w:szCs w:val="32"/>
        </w:rPr>
        <w:t>CURRENT LIABILITIES AND CONTINGENCIES</w:t>
      </w:r>
    </w:p>
    <w:p w:rsidR="00123C21" w:rsidRPr="002A2830" w:rsidRDefault="00123C21" w:rsidP="00123C21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32"/>
          <w:szCs w:val="32"/>
        </w:rPr>
      </w:pPr>
      <w:r w:rsidRPr="002A2830">
        <w:rPr>
          <w:rFonts w:ascii="TheSans-B7Bold" w:hAnsi="TheSans-B7Bold" w:cs="TheSans-B7Bold"/>
          <w:b/>
          <w:bCs/>
          <w:sz w:val="32"/>
          <w:szCs w:val="32"/>
        </w:rPr>
        <w:t>=========================================================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32"/>
          <w:szCs w:val="32"/>
        </w:rPr>
      </w:pPr>
      <w:r w:rsidRPr="002A2830">
        <w:rPr>
          <w:rFonts w:ascii="Palatino-Roman" w:eastAsia="Palatino-Roman" w:hAnsi="TheSans-B7Bold" w:cs="TheSans-B7Bold" w:hint="eastAsia"/>
          <w:b/>
          <w:bCs/>
          <w:sz w:val="32"/>
          <w:szCs w:val="32"/>
        </w:rPr>
        <w:t>WHAT IS A LIABILITY?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The question, “What is a liability?” is not easy to answer. For example, is preferred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stock a liability or an ownership claim? The first reaction is to say that preferred stock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is in fact an ownership claim, and companies should report it as part of stockholders’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equity. In fact, preferred stock has many elements of debt as well.1 The issuer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(and in some cases the holder) often has the right to call the stock within a specific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period of time—making it similar to a repayment of principal. The dividend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on the preferred stock is in many cases almost guaranteed (the cumulative provision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>) -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making it look like interest. As a result, preferred stock is but one of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many financial instruments that are difficult to classify.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To help resolve some of these controversies, the FASB, as part of its conceptual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framework study, defined liabilities as “probable future sacrifices of economic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benefits arising from present obligations of a particular entity to transfer assets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or provide services to other entities in the future as a result of past transactions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or events.” In other words, a liability has three essential characteristics:</w:t>
      </w:r>
    </w:p>
    <w:p w:rsidR="00A0563E" w:rsidRPr="002A2830" w:rsidRDefault="00A0563E" w:rsidP="00BE57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It is a present obligation that entails settlement by probable future transfer or use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of cash, goods, or services.</w:t>
      </w:r>
    </w:p>
    <w:p w:rsidR="00A0563E" w:rsidRPr="002A2830" w:rsidRDefault="00A0563E" w:rsidP="00BE57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It is an unavoidable obligation.</w:t>
      </w:r>
    </w:p>
    <w:p w:rsidR="00A0563E" w:rsidRPr="002A2830" w:rsidRDefault="00A0563E" w:rsidP="00BE57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The transaction or other event creating the obligation has already occurred.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Because liabilities involve future disbursements of assets or services, one of their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most important features is the date on which they are payable. A company must satisfy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currently maturing obligations in the ordinary course of business to continue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operating. Liabilities with a more distant due date do not, as a rule, represent a claim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on the company’s current resources. They are therefore in a slightly different category.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This feature gives rise to the basic division of liabilities into (1) current liabilities and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(2) long-term debt.</w:t>
      </w:r>
    </w:p>
    <w:p w:rsidR="008A629D" w:rsidRPr="002A2830" w:rsidRDefault="008A629D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32"/>
          <w:szCs w:val="32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32"/>
          <w:szCs w:val="32"/>
        </w:rPr>
      </w:pPr>
      <w:r w:rsidRPr="002A2830">
        <w:rPr>
          <w:rFonts w:ascii="Palatino-Roman" w:eastAsia="Palatino-Roman" w:hAnsi="TheSans-B7Bold" w:cs="TheSans-B7Bold" w:hint="eastAsia"/>
          <w:b/>
          <w:bCs/>
          <w:sz w:val="32"/>
          <w:szCs w:val="32"/>
        </w:rPr>
        <w:t>WHAT IS A CURRENT LIABILITY?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Recall that current assets are cash or other assets that companies reasonably expect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to convert into cash, sell, or consume in operations within a single operating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cycle or within a year (if completing more than one cycle each year). Current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liabilities are “obligations whose liquidation is reasonably expected to require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use of existing resources properly classified as current assets, or the creation of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other current liabilities.”This definition has gained wide acceptance because it recognizes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operating cycles of varying lengths in different industries. This definition also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considers the important relationship between current assets and current liabilities.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 xml:space="preserve">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operating cycle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the period of time elapsing between the acquisition of goods</w:t>
      </w:r>
      <w:r w:rsidR="00E20CB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services involved in the manufacturing process and the final cash realization</w:t>
      </w:r>
      <w:r w:rsidR="00E20CB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resulting from sales and subsequent collections. Industries that manufacture products</w:t>
      </w:r>
      <w:r w:rsidR="00E20CB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requiring an aging process, and certain capital-intensive industries, have an operating</w:t>
      </w:r>
      <w:r w:rsidR="00E20CB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cycle of considerably more than one year. On the other hand, most retail and service</w:t>
      </w:r>
      <w:r w:rsidR="00E20CB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establishments have several operating cycles within a year.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Here are some typical current liabilities:</w:t>
      </w:r>
    </w:p>
    <w:p w:rsidR="00C92C92" w:rsidRPr="002A2830" w:rsidRDefault="00C92C92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  <w:sectPr w:rsidR="00C92C92" w:rsidRPr="002A2830" w:rsidSect="00123C2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Accounts payable.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Notes payable.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Current maturities of long-term debt.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Short-term obligations expected to be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refinanced.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Dividends payable.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Customer advances and deposits.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Unearned revenues.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Sales taxes payable.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Income taxes payable.</w:t>
      </w:r>
    </w:p>
    <w:p w:rsidR="00A0563E" w:rsidRPr="002A2830" w:rsidRDefault="00A0563E" w:rsidP="00BE57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Employee-related liabilities.</w:t>
      </w:r>
    </w:p>
    <w:p w:rsidR="00C92C92" w:rsidRPr="002A2830" w:rsidRDefault="00C92C92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  <w:sectPr w:rsidR="00C92C92" w:rsidRPr="002A2830" w:rsidSect="00C92C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16749" w:rsidRPr="002A2830" w:rsidRDefault="00C16749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Accounts Payable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Accounts 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payable, or </w:t>
      </w:r>
      <w:r w:rsidR="00C16749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trade accounts payable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>, is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balances owed to others for goods,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supplies, or services purchased on open account. Accounts payable arise because of the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time lag between the receipt of services or acquisition of title to assets and the payment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them. The terms of the sale (e.g., 2/10, n/30 or 1/10, E.O.M.) usually state this period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extended credit, commonly 30 to 60 days.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Most companies record liabilities for purchases of goods upon receipt of the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goods. If title has passed to the purchaser before receipt of the goods, the company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should record the transaction at the time of title passage. A company must pay special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attention to transactions occurring near the end of one accounting period and at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beginning of the next. It needs to ascertain that the record of goods received (the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inventory) agrees with the liability (accounts payable), and that it records both in the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proper period.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Measuring the amount of an account payable poses no particular difficulty. The invoice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received from the creditor specifies the due date and the exact outlay in money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is necessary to settle the account. The only calculation that may be necessary concerns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amount of cash discount. See Chapter 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>1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for illustrations of entries related to</w:t>
      </w:r>
      <w:r w:rsidR="00C1674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accounts payable and purchase discounts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using the gross and net methods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C16749" w:rsidRPr="002A2830" w:rsidRDefault="00C16749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Notes Payable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Notes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are written promises to pay a certain sum of money on a specified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future date. They may arise from purchases, financing, or other transactions. Some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industries require notes (often referred to as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trade notes payable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) as part of the sales/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purchases transaction in lieu of the normal extension of open account credit. Notes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payable to banks or loan companies generally arise from cash loans. Companies classify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notes as short-term or long-term, depending on the payment due date. Notes may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also be interest-bearing or zero-interest-bearing.</w:t>
      </w:r>
    </w:p>
    <w:p w:rsidR="00C92C92" w:rsidRPr="002A2830" w:rsidRDefault="00C92C92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C92C92" w:rsidRPr="002A2830" w:rsidRDefault="00C92C92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C92C92" w:rsidRPr="002A2830" w:rsidRDefault="00C92C92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C92C92" w:rsidRPr="002A2830" w:rsidRDefault="00C92C92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lastRenderedPageBreak/>
        <w:t>Interest-Bearing Note Issued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Assume that Castle National Bank agrees to lend $100,000 on March 1, 2010, to Landscape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Co. if Landscape signs a $100,000, 6 percent, four-month note. Landscape records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cash received on March 1 as follows:</w:t>
      </w:r>
    </w:p>
    <w:p w:rsidR="00A0563E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</w:t>
      </w:r>
      <w:r w:rsidR="00A0563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March 1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100,000</w:t>
      </w:r>
    </w:p>
    <w:p w:rsidR="00A0563E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Notes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100,000</w:t>
      </w:r>
    </w:p>
    <w:p w:rsidR="00A0563E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i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A0563E" w:rsidRPr="002A2830">
        <w:rPr>
          <w:rFonts w:ascii="Palatino-Roman" w:eastAsia="Palatino-Roman" w:hAnsi="TheSans-B7Bold" w:cs="TheSans-B7Bold"/>
          <w:b/>
          <w:bCs/>
          <w:i/>
          <w:sz w:val="20"/>
          <w:szCs w:val="24"/>
        </w:rPr>
        <w:t>(To record issuance of 6%, 4-month note to Castle</w:t>
      </w: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4"/>
        </w:rPr>
        <w:t xml:space="preserve"> </w:t>
      </w:r>
      <w:r w:rsidR="00A0563E" w:rsidRPr="002A2830">
        <w:rPr>
          <w:rFonts w:ascii="Palatino-Roman" w:eastAsia="Palatino-Roman" w:hAnsi="TheSans-B7Bold" w:cs="TheSans-B7Bold"/>
          <w:b/>
          <w:bCs/>
          <w:i/>
          <w:sz w:val="20"/>
          <w:szCs w:val="24"/>
        </w:rPr>
        <w:t>National Bank)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If Landscape prepares financial statements semiannually, it makes the following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adjusting entry to recognize interest expense and interest payable of $2,000 ($100,000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x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6% 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>x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4/12) at June 30:</w:t>
      </w:r>
    </w:p>
    <w:p w:rsidR="00A0563E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</w:t>
      </w:r>
      <w:r w:rsidR="00A0563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June 30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Interest Expense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2,000</w:t>
      </w:r>
    </w:p>
    <w:p w:rsidR="00A0563E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Interest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2,000</w:t>
      </w:r>
    </w:p>
    <w:p w:rsidR="00A0563E" w:rsidRPr="002A2830" w:rsidRDefault="00A0563E" w:rsidP="002229E0">
      <w:pPr>
        <w:autoSpaceDE w:val="0"/>
        <w:autoSpaceDN w:val="0"/>
        <w:adjustRightInd w:val="0"/>
        <w:ind w:left="0"/>
        <w:jc w:val="center"/>
        <w:rPr>
          <w:rFonts w:ascii="Palatino-Roman" w:eastAsia="Palatino-Roman" w:hAnsi="TheSans-B7Bold" w:cs="TheSans-B7Bold"/>
          <w:b/>
          <w:bCs/>
          <w:i/>
          <w:sz w:val="20"/>
          <w:szCs w:val="20"/>
        </w:rPr>
      </w:pP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(To accrue interest for 4 months on Castle</w:t>
      </w:r>
      <w:r w:rsidR="002229E0"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National Bank note)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If Landscape prepares financial statements monthly, its adjusting entry at the end of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each month is $500 ($100,000 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>x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6% 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>x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1/12).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At maturity (July 1), Landscape must pay the face value of the note ($100,000) plus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$2,000 interest ($100,000 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>x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6% 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>x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4/12). Landscape records payment of the note and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accrued interest as follows.</w:t>
      </w:r>
    </w:p>
    <w:p w:rsidR="00A0563E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</w:t>
      </w:r>
      <w:r w:rsidR="00A0563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July 1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Notes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100,000</w:t>
      </w:r>
    </w:p>
    <w:p w:rsidR="00A0563E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Interest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2,000</w:t>
      </w:r>
    </w:p>
    <w:p w:rsidR="00A0563E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102,000</w:t>
      </w:r>
    </w:p>
    <w:p w:rsidR="00A0563E" w:rsidRPr="002A2830" w:rsidRDefault="00A0563E" w:rsidP="002229E0">
      <w:pPr>
        <w:autoSpaceDE w:val="0"/>
        <w:autoSpaceDN w:val="0"/>
        <w:adjustRightInd w:val="0"/>
        <w:ind w:left="0"/>
        <w:jc w:val="center"/>
        <w:rPr>
          <w:rFonts w:ascii="Palatino-Roman" w:eastAsia="Palatino-Roman" w:hAnsi="TheSans-B7Bold" w:cs="TheSans-B7Bold"/>
          <w:b/>
          <w:bCs/>
          <w:i/>
          <w:sz w:val="20"/>
          <w:szCs w:val="20"/>
        </w:rPr>
      </w:pP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(To record payment of Castle National Bank interest</w:t>
      </w:r>
      <w:r w:rsidR="002229E0"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bearing</w:t>
      </w:r>
      <w:r w:rsidR="002229E0"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note and accrued interest at maturity)</w:t>
      </w:r>
    </w:p>
    <w:p w:rsidR="002229E0" w:rsidRPr="002A2830" w:rsidRDefault="002229E0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Zero-Interest-Bearing Note Issued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company may issue a zero-interest-bearing note instead of an interest-bearing note.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zero-interest-bearing note does not explicitly state an interest rate on the face of the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note.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Interest is still charged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, however. At maturity the borrower must pay back an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amount greater than the cash received at the issuance date. In other words, the borrower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receives in cash the present value of the note. The present value equals the face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value of the note at maturity minus the interest or discount charged by the lender for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term of the note. In essence, the bank takes its fee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up front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rather than on the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date the note matures.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illustrate, assume that Landscape issues a $102,000, four-month, zero-interestbearing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note to Castle National Bank. The present value of the note is $100,000. Landscape</w:t>
      </w:r>
      <w:r w:rsidR="002229E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records this transaction as follows.</w:t>
      </w:r>
    </w:p>
    <w:p w:rsidR="00A0563E" w:rsidRPr="002A2830" w:rsidRDefault="00C52081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</w:t>
      </w:r>
      <w:r w:rsidR="00A0563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March 1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100,000</w:t>
      </w:r>
    </w:p>
    <w:p w:rsidR="00A0563E" w:rsidRPr="002A2830" w:rsidRDefault="00C52081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Discount on Notes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2,000</w:t>
      </w:r>
    </w:p>
    <w:p w:rsidR="00A0563E" w:rsidRPr="002A2830" w:rsidRDefault="00C52081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Notes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102,000</w:t>
      </w:r>
    </w:p>
    <w:p w:rsidR="00A0563E" w:rsidRPr="002A2830" w:rsidRDefault="00A0563E" w:rsidP="004E5EFB">
      <w:pPr>
        <w:autoSpaceDE w:val="0"/>
        <w:autoSpaceDN w:val="0"/>
        <w:adjustRightInd w:val="0"/>
        <w:ind w:left="0"/>
        <w:jc w:val="center"/>
        <w:rPr>
          <w:rFonts w:ascii="Palatino-Roman" w:eastAsia="Palatino-Roman" w:hAnsi="TheSans-B7Bold" w:cs="TheSans-B7Bold"/>
          <w:b/>
          <w:bCs/>
          <w:i/>
          <w:sz w:val="20"/>
          <w:szCs w:val="20"/>
        </w:rPr>
      </w:pP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(To record issuance of 4-month, zero-interest-bearing</w:t>
      </w:r>
      <w:r w:rsidR="004E5EFB"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note to Castle National Bank)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Landscape credits the Notes Payable account for the face value of the note, which</w:t>
      </w:r>
      <w:r w:rsidR="004E5EF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$2,000 more than the actual cash received. It debits the difference between the cash</w:t>
      </w:r>
      <w:r w:rsidR="004E5EF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received and the face value of the note to Discount on Notes Payable.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Discount on</w:t>
      </w:r>
    </w:p>
    <w:p w:rsidR="004E5EFB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Notes Payable is a contra account to Notes Payable, and therefore is subtracted from</w:t>
      </w:r>
      <w:r w:rsidR="004E5EFB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Notes Payable on the balance sheet. </w:t>
      </w:r>
    </w:p>
    <w:p w:rsidR="004E5EFB" w:rsidRPr="002A2830" w:rsidRDefault="004E5EF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A0563E" w:rsidRPr="002A2830" w:rsidRDefault="004E5EF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The following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shows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the balance sheet presentation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on March 1.</w:t>
      </w:r>
    </w:p>
    <w:p w:rsidR="00A0563E" w:rsidRPr="002A2830" w:rsidRDefault="004E5EF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Current liabilities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:</w:t>
      </w:r>
    </w:p>
    <w:p w:rsidR="00A0563E" w:rsidRPr="002A2830" w:rsidRDefault="004E5EF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Notes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$102,000</w:t>
      </w:r>
    </w:p>
    <w:p w:rsidR="00A0563E" w:rsidRPr="002A2830" w:rsidRDefault="004E5EF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Less: Discount on notes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  <w:u w:val="single"/>
        </w:rPr>
        <w:t>2,000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$100,000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amount of the discount, $2,000 in this case, represents the cost of borrowing</w:t>
      </w:r>
      <w:r w:rsidR="004E5EF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$100,000 for 4 months. Accordingly, Landscape charges the discount to interest expense</w:t>
      </w:r>
      <w:r w:rsidR="004E5EF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over the life of the note. That is, the Discount on Notes Payable balance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represents</w:t>
      </w:r>
      <w:r w:rsidR="004E5EF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interest expense chargeable to future periods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Thus, Landscape should not debit Interest</w:t>
      </w:r>
      <w:r w:rsidR="004E5EF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Expense for $2,000 at the time of obtaining the loan. We discuss additional accounting</w:t>
      </w:r>
      <w:r w:rsidR="004E5EF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issues related to notes payable in Chapter </w:t>
      </w:r>
      <w:r w:rsidR="004E5EFB" w:rsidRPr="002A2830">
        <w:rPr>
          <w:rFonts w:ascii="Palatino-Roman" w:eastAsia="Palatino-Roman" w:hAnsi="TheSans-B7Bold" w:cs="TheSans-B7Bold"/>
          <w:bCs/>
          <w:sz w:val="24"/>
          <w:szCs w:val="24"/>
        </w:rPr>
        <w:t>6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4E5EFB" w:rsidRPr="002A2830" w:rsidRDefault="004E5EF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Current Maturities of Long-Term Debt</w:t>
      </w:r>
    </w:p>
    <w:p w:rsidR="00A0563E" w:rsidRPr="002A2830" w:rsidRDefault="004E5EF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report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as part of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their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current liabilities the portion of bonds, mortgage notes,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and other long-term indebtedness that matures within the next fiscal year.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They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categorizes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this amount as </w:t>
      </w:r>
      <w:r w:rsidR="00A0563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current maturities of long-term debt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But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Companies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exclude long-term debts maturing currently as current liabilities if they are to be:</w:t>
      </w:r>
    </w:p>
    <w:p w:rsidR="00A0563E" w:rsidRPr="002A2830" w:rsidRDefault="004E5EFB" w:rsidP="00BE57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etired by assets accumulated for this purpose that properly have not been shown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as current assets,</w:t>
      </w:r>
    </w:p>
    <w:p w:rsidR="00A0563E" w:rsidRPr="002A2830" w:rsidRDefault="004E5EFB" w:rsidP="00BE57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>efinanced, or retired from the proceeds of a new debt issue, or</w:t>
      </w:r>
    </w:p>
    <w:p w:rsidR="00A0563E" w:rsidRPr="002A2830" w:rsidRDefault="004E5EFB" w:rsidP="00BE57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Converted</w:t>
      </w:r>
      <w:r w:rsidR="00A0563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into capital stock.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these situations, the use of current assets or the creation of other current liabilities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does not occur. Therefore, classification as a current liability is inappropriate. A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company should disclose the plan for liquidation of such a debt either parenthetically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or by a note to the financial statements. When only a part of a long-term debt is to be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paid within the next 12 months, as in the case of serial bonds that it retires through a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series of annual installments,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the company reports the maturing portion of long-term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debt as a current liability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, and the remaining portion as a long-term debt.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However, a company should classify as current any liability that is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due on demand</w:t>
      </w:r>
      <w:r w:rsidR="00C516DB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(callable by the creditor) or will be due on demand within a year (or operating cycle,</w:t>
      </w:r>
      <w:r w:rsidR="00C516DB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if longer). Liabilities often become callable by the creditor when there is a violation of</w:t>
      </w:r>
      <w:r w:rsidR="00C516DB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debt agreement. For example, most debt agreements specify a given level of equity</w:t>
      </w:r>
      <w:r w:rsidR="00C516DB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debt be maintained, or specify that working capital be of a minimum amount.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If the company violates an agreement, it must classify the debt as current because it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a reasonable expectation that existing working capital will be used to satisfy the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debt. Only if a company can show that it is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probable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it will cure (satisfy) the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violation within the grace period specified in the agreements can it classify the debt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as noncurrent. </w:t>
      </w:r>
    </w:p>
    <w:p w:rsidR="00C516DB" w:rsidRPr="002A2830" w:rsidRDefault="00C516D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Short-Term Obligations Expected to Be Refinanced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Short-term obligations are debts scheduled to mature within one year after the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date of a company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balance sheet or within its operating cycle, whichever is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longer. Some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short-term obligations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are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expected to be refinanced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a long-term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basis. These short-term obligations will not require the use of working capital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during the next year (or operating cycle).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At one time, the accounting profession generally supported the exclusion of shortterm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obligations from current liabilities if they were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expected to be refinanced.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But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profession provided no specific guidelines, so companies determined whether a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short-term obligation was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expected to be refinanced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based solely on management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intent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refinance on a long-term basis. Classification was not clear-cut. For example,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company might obtain a five-year bank loan but handle the actual financing with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90-day notes, which it must keep turning over (renewing). In this case, is the loan a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long-term debt or a current liability? Another example was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Penn Central Railroad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before it went bankrupt. The railroad was deep into short-term debt but classified it as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long-term debt. Why? Because the railroad believed it had commitments from lenders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keep refinancing the short-term debt. When those commitments suddenly disappeared,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it was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good-bye Pennsy.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As the Greek philosopher Epictetus once said,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Some</w:t>
      </w:r>
      <w:r w:rsidR="00C516D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things in this world are not and yet appear to be.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</w:p>
    <w:p w:rsidR="00C516DB" w:rsidRPr="002A2830" w:rsidRDefault="00C516DB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Refinancing Criteria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resolve these classification problems, the accounting profession has developed</w:t>
      </w:r>
      <w:r w:rsidR="00A2556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authoritative criteria for determining the circumstances under which short-term obligations</w:t>
      </w:r>
      <w:r w:rsidR="00A2556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may be properly excluded from current liabilities. A company is required to</w:t>
      </w:r>
      <w:r w:rsidR="00A2556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exclude a short-term obligation from current liabilities if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both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the following conditions</w:t>
      </w:r>
      <w:r w:rsidR="00A2556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are met:</w:t>
      </w:r>
    </w:p>
    <w:p w:rsidR="00A0563E" w:rsidRPr="002A2830" w:rsidRDefault="00A0563E" w:rsidP="00BE57B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It must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intend to refinance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obligation on a long-term basis.</w:t>
      </w:r>
    </w:p>
    <w:p w:rsidR="00A0563E" w:rsidRPr="002A2830" w:rsidRDefault="00A0563E" w:rsidP="00BE57B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It must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demonstrate an ability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to consummate the refinancing. 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Intention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refinance on a long-term basis means that the company intends to refinance</w:t>
      </w:r>
      <w:r w:rsidR="00A2556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short-term obligation so that it will not require the use of working capital</w:t>
      </w:r>
      <w:r w:rsidR="00A2556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during the ensuing fiscal year (or operating cycle, if longer).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company demonstrates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ability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consummate the refinancing by:</w:t>
      </w:r>
    </w:p>
    <w:p w:rsidR="00A0563E" w:rsidRPr="002A2830" w:rsidRDefault="00A0563E" w:rsidP="00BE57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Actually refinancing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short-term obligation by issuing a long-term obligation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or equity securities after the date of the balance sheet but before it is issued; or</w:t>
      </w:r>
    </w:p>
    <w:p w:rsidR="00A0563E" w:rsidRPr="002A2830" w:rsidRDefault="00A0563E" w:rsidP="00BE57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Entering into a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financing agreement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clearly permits the company to refinance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debt on a long-term basis on terms that are readily determinable.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If an actual refinancing occurs, the portion of the short-term obligation to be excluded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from current liabilities may not exceed the proceeds from the new obligation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or equity securities used to retire the short-term obligation. For example,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Montavon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Winery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had $3,000,000 of short-term debt. Subsequent to the balance sheet date, but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before issuing the balance sheet, the company issued 100,000 shares of common stock,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intending to use the proceeds to liquidate the short-term debt at its maturity. If Montavon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net proceeds from the sale of the 100,000 shares total $2,000,000, it can exclude from</w:t>
      </w:r>
      <w:r w:rsidR="00A5202F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current liabilities only $2,000,000 of the short-term debt.</w:t>
      </w:r>
    </w:p>
    <w:p w:rsidR="00C92C92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 additional question is whether a company should exclude from current liabilities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short-term obligation if it is paid off after the balance sheet date and replaced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by long-term debt before the balance sheet is issued. To illustrate, Marquardt Company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pays off short-term debt of $40,000 on January 17, 2011, and issues long-term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debt of $100,000 on February 3, 2011. Marquardt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financial statements, dated December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31, 2010, are to be issued March 1, 2011. </w:t>
      </w:r>
    </w:p>
    <w:p w:rsidR="00A0563E" w:rsidRPr="002A2830" w:rsidRDefault="00A0563E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Should Marquardt exclude the $40,000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short-term debt from current liabilities? No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—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here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why: Repayment of the short-term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obligation required the use of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existing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current assets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before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company obtained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funds through long-term financing. Therefore, Marquardt must include the short-term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obligations in current liabilities at the balance sheet date (see graphical presentation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below).</w:t>
      </w:r>
    </w:p>
    <w:p w:rsidR="001A26DD" w:rsidRPr="002A2830" w:rsidRDefault="001A26DD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noProof/>
          <w:sz w:val="24"/>
          <w:szCs w:val="24"/>
        </w:rPr>
        <w:drawing>
          <wp:inline distT="0" distB="0" distL="0" distR="0">
            <wp:extent cx="6858000" cy="1554959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DD" w:rsidRPr="002A2830" w:rsidRDefault="001A26DD" w:rsidP="00A0563E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Dividends Payable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cash dividend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an amount owed by a corporation to its stockholders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 a result of board of directors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authorization. At the date of declaration the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corporation assumes a liability that places the stockholders in the position of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creditors in the amount of dividends declared. Because companies always pay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cash dividends within one year of declaration (generally within three months),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they classify them as current liabilities.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the other hand, companies do not recognize accumulated but undeclared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dividends on cumulative preferred stock as a liability. Why? Because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preferred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dividends in arrears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are not an obligation until the board of directors authorizes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payment. Nevertheless, companies should disclose the amount of cumulative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dividends unpaid in a note, or show it parenthetically in the capital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stock section.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Dividends payable in the form of additional shares of stock are not recognized as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 liability. Such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stock dividends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do not require future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outlays of assets or services. Companies generally report such undistributed stock dividends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the stockholders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equity section because they represent retained earnings in</w:t>
      </w:r>
      <w:r w:rsidR="00C92C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process of transfer to paid-in capital.</w:t>
      </w:r>
    </w:p>
    <w:p w:rsidR="00C92C92" w:rsidRPr="002A2830" w:rsidRDefault="00C92C92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Customer Advances and Deposits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Current liabilities may include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returnable cash deposits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received from customers and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employees. Companies may receive deposits from customers to guarantee performance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a contract or service or as guarantees to cover payment of expected future obligations.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For example, a company like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Alltel Corp.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often requires a deposit on equipment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customers use to connect to the Internet or to access its other services. Alltel also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may receive deposits from customers as guarantees for possible damage to property.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Additionally, some companies require their employees to make deposits for the return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keys or other company property.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classification of these items as current or noncurrent liabilities depends on the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time between the date of the deposit and the termination of the relationship that required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deposit.</w:t>
      </w:r>
    </w:p>
    <w:p w:rsidR="00633E60" w:rsidRPr="002A2830" w:rsidRDefault="00633E60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lastRenderedPageBreak/>
        <w:t>Unearned Revenues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 magazine 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publisher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receives payment when a customer subscribes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to its magazines. An airline 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company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sells tickets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future flights. And software companies, issue coupons that allow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customers to upgrade to the next version of their software. How do these companies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account for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unearned revenues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they receive before delivering goods or rendering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services?</w:t>
      </w:r>
    </w:p>
    <w:p w:rsidR="001A26DD" w:rsidRPr="002A2830" w:rsidRDefault="001A26DD" w:rsidP="00BE57B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Upon receipt of the advance, debit Cash, and credit a current liability account identifying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source of the unearned revenue.</w:t>
      </w:r>
    </w:p>
    <w:p w:rsidR="001A26DD" w:rsidRPr="002A2830" w:rsidRDefault="001A26DD" w:rsidP="00BE57B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Upon earning the revenue, debit the unearned revenue account, and credit an earned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revenue account.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illustrate, assume that Allstate University sells 10,000 season football tickets at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$50 each for its five-game home schedule. Allstate University records the sales of season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tickets as follows:</w:t>
      </w:r>
    </w:p>
    <w:p w:rsidR="001A26DD" w:rsidRPr="002A2830" w:rsidRDefault="00633E60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 </w:t>
      </w:r>
      <w:r w:rsidR="001A26DD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August 6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>500,000</w:t>
      </w:r>
    </w:p>
    <w:p w:rsidR="001A26DD" w:rsidRPr="002A2830" w:rsidRDefault="00633E60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Unearned Football Ticket Revenue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>500,000</w:t>
      </w:r>
    </w:p>
    <w:p w:rsidR="001A26DD" w:rsidRPr="002A2830" w:rsidRDefault="001A26DD" w:rsidP="00633E60">
      <w:pPr>
        <w:autoSpaceDE w:val="0"/>
        <w:autoSpaceDN w:val="0"/>
        <w:adjustRightInd w:val="0"/>
        <w:ind w:left="0"/>
        <w:jc w:val="center"/>
        <w:rPr>
          <w:rFonts w:ascii="Palatino-Roman" w:eastAsia="Palatino-Roman" w:hAnsi="TheSans-B7Bold" w:cs="TheSans-B7Bold"/>
          <w:b/>
          <w:bCs/>
          <w:i/>
          <w:sz w:val="20"/>
          <w:szCs w:val="20"/>
        </w:rPr>
      </w:pP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(To record sale of 10,000 season tickets)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After each game, Allstate University makes the following entry.</w:t>
      </w:r>
    </w:p>
    <w:p w:rsidR="001A26DD" w:rsidRPr="002A2830" w:rsidRDefault="00633E60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 </w:t>
      </w:r>
      <w:r w:rsidR="001A26DD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September 7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Unearned Football Ticket Revenue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>100,000</w:t>
      </w:r>
    </w:p>
    <w:p w:rsidR="001A26DD" w:rsidRPr="002A2830" w:rsidRDefault="00633E60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Football Ticket Revenue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>100,000</w:t>
      </w:r>
    </w:p>
    <w:p w:rsidR="001A26DD" w:rsidRPr="002A2830" w:rsidRDefault="001A26DD" w:rsidP="00633E60">
      <w:pPr>
        <w:autoSpaceDE w:val="0"/>
        <w:autoSpaceDN w:val="0"/>
        <w:adjustRightInd w:val="0"/>
        <w:ind w:left="0"/>
        <w:jc w:val="center"/>
        <w:rPr>
          <w:rFonts w:ascii="Palatino-Roman" w:eastAsia="Palatino-Roman" w:hAnsi="TheSans-B7Bold" w:cs="TheSans-B7Bold"/>
          <w:b/>
          <w:bCs/>
          <w:i/>
          <w:sz w:val="20"/>
          <w:szCs w:val="20"/>
        </w:rPr>
      </w:pPr>
      <w:r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(To record football ticket revenues earned)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Unearned Football Ticket Revenue is, therefore, unearned revenue. Allstate University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reports it as a current liability in the balance sheet. As revenue is earned, a transfer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from unearned revenue to earned revenue occurs. Unearned revenue is material for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some companies: In the airline industry, tickets sold for future flights represent almost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50 percent of total current liabilities.</w:t>
      </w:r>
    </w:p>
    <w:p w:rsidR="001A26DD" w:rsidRPr="002A2830" w:rsidRDefault="00A06F4C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following illustration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shows specific unearned and earned revenue accounts used in selected</w:t>
      </w:r>
      <w:r w:rsidR="00633E6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>types of businesses.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noProof/>
          <w:sz w:val="24"/>
          <w:szCs w:val="24"/>
        </w:rPr>
        <w:drawing>
          <wp:inline distT="0" distB="0" distL="0" distR="0">
            <wp:extent cx="6858000" cy="16807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8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balance sheet should report obligations for any commitments that are redeemable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goods and services. The income statement should report revenues earned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during the period.</w:t>
      </w:r>
    </w:p>
    <w:p w:rsidR="00A06F4C" w:rsidRPr="002A2830" w:rsidRDefault="00A06F4C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Sales Taxes Payable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Retailers like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Wal-Mart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Circuit City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, and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GAP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must collect sales taxes from customers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transfers of tangible personal property and on certain services and then must remit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these taxes to the proper governmental authority. GAP, for example, sets up a liability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provide for taxes collected from customers but not yet remitted to the tax authority.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The Sales Taxes Payable account should reflect the liability for sales taxes due various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governments.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entry below illustrates use of the Sales Taxes Payable account on a sale of $3,000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assuming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 4 percent sales tax is in effect.</w:t>
      </w:r>
    </w:p>
    <w:p w:rsidR="001A26DD" w:rsidRPr="002A2830" w:rsidRDefault="00A06F4C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or Accounts Receivable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>3,120</w:t>
      </w:r>
    </w:p>
    <w:p w:rsidR="001A26DD" w:rsidRPr="002A2830" w:rsidRDefault="00A06F4C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Sales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>3,000</w:t>
      </w:r>
    </w:p>
    <w:p w:rsidR="001A26DD" w:rsidRPr="002A2830" w:rsidRDefault="00A06F4C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Sales Taxes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</w:t>
      </w:r>
      <w:r w:rsidR="001A26DD" w:rsidRPr="002A2830">
        <w:rPr>
          <w:rFonts w:ascii="Palatino-Roman" w:eastAsia="Palatino-Roman" w:hAnsi="TheSans-B7Bold" w:cs="TheSans-B7Bold"/>
          <w:bCs/>
          <w:sz w:val="24"/>
          <w:szCs w:val="24"/>
        </w:rPr>
        <w:t>120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Income Taxes Payable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Any federal or 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>regional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income tax varies in proportion to the amount of annual income.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Using the best information and advice available, a business must prepare an income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tax return and compute the income tax payable resulting from the operations of the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current period. Corporations should classify as a current liability the taxes payable on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net income, as computed per the tax return. Unlike a corporation, proprietorships and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partnerships are not taxable entities. Because the individual proprietor and the members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a partnership are subject to personal income taxes on their share of the business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taxable income, income tax liabilities do not appear on the financial statements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proprietorships and partnerships.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Most corporations must make periodic tax payments throughout the year in an authorized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bank depository or a Federal Reserve Bank. These payments are based upon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estimates of the total annual tax liability. As the estimated total tax liability changes,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periodic contributions also change. If in a later year the taxing authority assesses</w:t>
      </w:r>
      <w:r w:rsidR="00A06F4C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 additional tax on the income of an earlier year, the company should credit Income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Taxes Payable and charge the related debit to current operations.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Differences between taxable income under the tax laws and accounting income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under generally accepted accounting principles sometimes occur. Because of these differences,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amount of income tax payable to the government in any given year may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differ substantially from income tax expense as reported on the financial statements.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Chapter 19 is devoted solely to income tax matters and presents an extensive discussion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this complex topic.</w:t>
      </w:r>
    </w:p>
    <w:p w:rsidR="00D74CC7" w:rsidRPr="002A2830" w:rsidRDefault="00D74CC7" w:rsidP="001A26DD">
      <w:pPr>
        <w:autoSpaceDE w:val="0"/>
        <w:autoSpaceDN w:val="0"/>
        <w:adjustRightInd w:val="0"/>
        <w:ind w:left="0"/>
        <w:jc w:val="left"/>
        <w:rPr>
          <w:rFonts w:ascii="TheSans-B7Bold" w:hAnsi="TheSans-B7Bold" w:cs="TheSans-B7Bold"/>
          <w:b/>
          <w:bCs/>
          <w:sz w:val="26"/>
          <w:szCs w:val="26"/>
        </w:rPr>
      </w:pPr>
    </w:p>
    <w:p w:rsidR="001A26DD" w:rsidRPr="002A2830" w:rsidRDefault="001A26DD" w:rsidP="001A26DD">
      <w:pPr>
        <w:autoSpaceDE w:val="0"/>
        <w:autoSpaceDN w:val="0"/>
        <w:adjustRightInd w:val="0"/>
        <w:ind w:left="0"/>
        <w:jc w:val="left"/>
        <w:rPr>
          <w:rFonts w:ascii="TheSans-B7Bold" w:hAnsi="TheSans-B7Bold" w:cs="TheSans-B7Bold"/>
          <w:b/>
          <w:bCs/>
          <w:sz w:val="26"/>
          <w:szCs w:val="26"/>
        </w:rPr>
      </w:pPr>
      <w:r w:rsidRPr="002A2830">
        <w:rPr>
          <w:rFonts w:ascii="TheSans-B7Bold" w:hAnsi="TheSans-B7Bold" w:cs="TheSans-B7Bold"/>
          <w:b/>
          <w:bCs/>
          <w:sz w:val="26"/>
          <w:szCs w:val="26"/>
        </w:rPr>
        <w:t>Employee-Related Liabilities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jc w:val="left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>Companies also report as a current liability amounts owed to employees for</w:t>
      </w:r>
      <w:r w:rsidR="00A06F4C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salaries or wages at the end of an accounting period. In addition, they often also</w:t>
      </w:r>
      <w:r w:rsidR="00A06F4C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report as current liabilities the following items related to employee compensation.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jc w:val="left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TheSansBlack-Plain" w:hAnsi="TheSansBlack-Plain" w:cs="TheSansBlack-Plain"/>
          <w:b/>
          <w:bCs/>
          <w:sz w:val="24"/>
          <w:szCs w:val="24"/>
        </w:rPr>
        <w:t xml:space="preserve">1.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Payroll deductions.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jc w:val="left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TheSansBlack-Plain" w:hAnsi="TheSansBlack-Plain" w:cs="TheSansBlack-Plain"/>
          <w:b/>
          <w:bCs/>
          <w:sz w:val="24"/>
          <w:szCs w:val="24"/>
        </w:rPr>
        <w:t xml:space="preserve">2.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Compensated absences.</w:t>
      </w:r>
    </w:p>
    <w:p w:rsidR="001A26DD" w:rsidRPr="002A2830" w:rsidRDefault="001A26DD" w:rsidP="001A26DD">
      <w:pPr>
        <w:autoSpaceDE w:val="0"/>
        <w:autoSpaceDN w:val="0"/>
        <w:adjustRightInd w:val="0"/>
        <w:ind w:left="0"/>
        <w:jc w:val="left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TheSansBlack-Plain" w:hAnsi="TheSansBlack-Plain" w:cs="TheSansBlack-Plain"/>
          <w:b/>
          <w:bCs/>
          <w:sz w:val="24"/>
          <w:szCs w:val="24"/>
        </w:rPr>
        <w:t xml:space="preserve">3.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Bonuses.</w:t>
      </w:r>
    </w:p>
    <w:p w:rsidR="00D74CC7" w:rsidRPr="002A2830" w:rsidRDefault="00D74CC7" w:rsidP="001A26DD">
      <w:pPr>
        <w:autoSpaceDE w:val="0"/>
        <w:autoSpaceDN w:val="0"/>
        <w:adjustRightInd w:val="0"/>
        <w:ind w:left="0"/>
        <w:jc w:val="left"/>
        <w:rPr>
          <w:rFonts w:ascii="TheSans-B7Bold" w:hAnsi="TheSans-B7Bold" w:cs="TheSans-B7Bold"/>
          <w:b/>
          <w:bCs/>
        </w:rPr>
      </w:pPr>
    </w:p>
    <w:p w:rsidR="001A26DD" w:rsidRPr="002A2830" w:rsidRDefault="001A26DD" w:rsidP="001A26DD">
      <w:pPr>
        <w:autoSpaceDE w:val="0"/>
        <w:autoSpaceDN w:val="0"/>
        <w:adjustRightInd w:val="0"/>
        <w:ind w:left="0"/>
        <w:jc w:val="left"/>
        <w:rPr>
          <w:rFonts w:ascii="TheSans-B7Bold" w:hAnsi="TheSans-B7Bold" w:cs="TheSans-B7Bold"/>
          <w:b/>
          <w:bCs/>
        </w:rPr>
      </w:pPr>
      <w:r w:rsidRPr="002A2830">
        <w:rPr>
          <w:rFonts w:ascii="TheSans-B7Bold" w:hAnsi="TheSans-B7Bold" w:cs="TheSans-B7Bold"/>
          <w:b/>
          <w:bCs/>
        </w:rPr>
        <w:t>Payroll Deductions</w:t>
      </w:r>
    </w:p>
    <w:p w:rsidR="00711E40" w:rsidRPr="002A2830" w:rsidRDefault="001A26DD" w:rsidP="002B6D88">
      <w:pPr>
        <w:autoSpaceDE w:val="0"/>
        <w:autoSpaceDN w:val="0"/>
        <w:adjustRightInd w:val="0"/>
        <w:ind w:left="0"/>
        <w:jc w:val="left"/>
        <w:rPr>
          <w:rFonts w:ascii="Palatino-BoldItalic" w:hAnsi="Palatino-BoldItalic" w:cs="Palatino-BoldItalic"/>
          <w:b/>
          <w:bCs/>
          <w:i/>
          <w:iCs/>
          <w:sz w:val="20"/>
          <w:szCs w:val="20"/>
        </w:rPr>
      </w:pPr>
      <w:r w:rsidRPr="002A2830">
        <w:rPr>
          <w:rFonts w:ascii="Palatino-Roman" w:eastAsia="Palatino-Roman" w:hAnsi="TheSans-B7Bold" w:cs="Palatino-Roman"/>
          <w:sz w:val="20"/>
          <w:szCs w:val="20"/>
        </w:rPr>
        <w:t>The most common types of payroll deductions are taxes, insurance premiums, employee</w:t>
      </w:r>
      <w:r w:rsidR="00A06F4C" w:rsidRPr="002A2830">
        <w:rPr>
          <w:rFonts w:ascii="Palatino-Roman" w:eastAsia="Palatino-Roman" w:hAnsi="TheSans-B7Bold" w:cs="Palatino-Roman"/>
          <w:sz w:val="20"/>
          <w:szCs w:val="20"/>
        </w:rPr>
        <w:t xml:space="preserve"> </w:t>
      </w:r>
      <w:r w:rsidRPr="002A2830">
        <w:rPr>
          <w:rFonts w:ascii="Palatino-Roman" w:eastAsia="Palatino-Roman" w:hAnsi="TheSans-B7Bold" w:cs="Palatino-Roman"/>
          <w:sz w:val="20"/>
          <w:szCs w:val="20"/>
        </w:rPr>
        <w:t xml:space="preserve">savings, and union dues. </w:t>
      </w:r>
      <w:r w:rsidRPr="002A2830">
        <w:rPr>
          <w:rFonts w:ascii="Palatino-Bold" w:hAnsi="Palatino-Bold" w:cs="Palatino-Bold"/>
          <w:b/>
          <w:bCs/>
          <w:sz w:val="20"/>
          <w:szCs w:val="20"/>
        </w:rPr>
        <w:t>To the extent that a company has not remitted the</w:t>
      </w:r>
      <w:r w:rsidR="00A06F4C" w:rsidRPr="002A2830">
        <w:rPr>
          <w:rFonts w:ascii="Palatino-Roman" w:eastAsia="Palatino-Roman" w:hAnsi="TheSans-B7Bold" w:cs="Palatino-Roman"/>
          <w:sz w:val="20"/>
          <w:szCs w:val="20"/>
        </w:rPr>
        <w:t xml:space="preserve"> </w:t>
      </w:r>
      <w:r w:rsidRPr="002A2830">
        <w:rPr>
          <w:rFonts w:ascii="Palatino-Bold" w:hAnsi="Palatino-Bold" w:cs="Palatino-Bold"/>
          <w:b/>
          <w:bCs/>
          <w:sz w:val="20"/>
          <w:szCs w:val="20"/>
        </w:rPr>
        <w:t>amounts deducted to the proper authority at the end of the accounting period, it</w:t>
      </w:r>
      <w:r w:rsidR="00A06F4C" w:rsidRPr="002A2830">
        <w:rPr>
          <w:rFonts w:ascii="Palatino-Roman" w:eastAsia="Palatino-Roman" w:hAnsi="TheSans-B7Bold" w:cs="Palatino-Roman"/>
          <w:sz w:val="20"/>
          <w:szCs w:val="20"/>
        </w:rPr>
        <w:t xml:space="preserve"> </w:t>
      </w:r>
      <w:r w:rsidRPr="002A2830">
        <w:rPr>
          <w:rFonts w:ascii="Palatino-Bold" w:hAnsi="Palatino-Bold" w:cs="Palatino-Bold"/>
          <w:b/>
          <w:bCs/>
          <w:sz w:val="20"/>
          <w:szCs w:val="20"/>
        </w:rPr>
        <w:t>should recognize them as current liabilities.</w:t>
      </w:r>
      <w:r w:rsidR="00A06F4C" w:rsidRPr="002A2830">
        <w:rPr>
          <w:rFonts w:ascii="Palatino-Roman" w:eastAsia="Palatino-Roman" w:hAnsi="TheSans-B7Bold" w:cs="Palatino-Roman"/>
          <w:sz w:val="20"/>
          <w:szCs w:val="20"/>
        </w:rPr>
        <w:t xml:space="preserve"> </w:t>
      </w:r>
      <w:r w:rsidRPr="002A2830">
        <w:rPr>
          <w:rFonts w:ascii="Palatino-BoldItalic" w:hAnsi="Palatino-BoldItalic" w:cs="Palatino-BoldItalic"/>
          <w:b/>
          <w:bCs/>
          <w:i/>
          <w:iCs/>
          <w:sz w:val="20"/>
          <w:szCs w:val="20"/>
        </w:rPr>
        <w:t xml:space="preserve"> </w:t>
      </w:r>
    </w:p>
    <w:p w:rsidR="002B6D88" w:rsidRPr="002A2830" w:rsidRDefault="002B6D88" w:rsidP="002B6D88">
      <w:pPr>
        <w:autoSpaceDE w:val="0"/>
        <w:autoSpaceDN w:val="0"/>
        <w:adjustRightInd w:val="0"/>
        <w:ind w:left="0"/>
        <w:jc w:val="left"/>
        <w:rPr>
          <w:rFonts w:ascii="Palatino-Roman" w:eastAsia="Palatino-Roman" w:hAnsi="TheSans-B7Bold" w:cs="TheSans-B7Bold"/>
          <w:bCs/>
          <w:sz w:val="24"/>
          <w:szCs w:val="24"/>
        </w:rPr>
      </w:pPr>
    </w:p>
    <w:p w:rsidR="00D74CC7" w:rsidRPr="002A2830" w:rsidRDefault="00D74CC7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lastRenderedPageBreak/>
        <w:t>Compensated Absences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Compensated absences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are paid absences from employment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—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such as vacation,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illness, and holidays. Companies should accrue a liability for the cost of compensation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for future absences if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all of the following conditions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exist. </w:t>
      </w:r>
    </w:p>
    <w:p w:rsidR="00711E40" w:rsidRPr="002A2830" w:rsidRDefault="00711E40" w:rsidP="00BE5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employer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obligation relating to employees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rights to receive compensation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future absences is attributable to employees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services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already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rendered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711E40" w:rsidRPr="002A2830" w:rsidRDefault="00711E40" w:rsidP="00BE5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obligation relates to the rights that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vest or accumulate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711E40" w:rsidRPr="002A2830" w:rsidRDefault="00711E40" w:rsidP="00BE5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Payment of the compensation is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probable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711E40" w:rsidRPr="002A2830" w:rsidRDefault="00711E40" w:rsidP="00BE57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amount can be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reasonably estimated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. </w:t>
      </w:r>
    </w:p>
    <w:p w:rsidR="00711E40" w:rsidRPr="002A2830" w:rsidRDefault="002B6D88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i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llustration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follow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shows an example of an accrual for compensated absences, in an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excerpt from the balance sheet of </w:t>
      </w:r>
      <w:r w:rsidR="00711E40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Clarcor Inc.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noProof/>
          <w:sz w:val="24"/>
          <w:szCs w:val="24"/>
        </w:rPr>
        <w:drawing>
          <wp:inline distT="0" distB="0" distL="0" distR="0">
            <wp:extent cx="6858000" cy="1930202"/>
            <wp:effectExtent l="19050" t="0" r="0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3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If an employer meets conditions (a), (b), and (c) but does not accrue a liability because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of a failure to meet condition (d), it should disclose that fact. 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following presentation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shows an example of such a disclosure, in a note from the financial statements of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Gotham Utility Company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noProof/>
          <w:sz w:val="24"/>
          <w:szCs w:val="24"/>
        </w:rPr>
        <w:drawing>
          <wp:inline distT="0" distB="0" distL="0" distR="0">
            <wp:extent cx="6858000" cy="1548581"/>
            <wp:effectExtent l="1905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4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following considerations are relevant to the accounting for compensated absences.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Vested rights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exist when an employer has an obligation to make payment to an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employee even after terminating his or her employment. Thus, vested rights are not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contingent on an employee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 future service.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Accumulated rights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are those that employees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can carry forward to future periods if not used in the period in which earned. For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example, assume that you earn four days of vacation pay as of December 31, the end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your employer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fiscal year. Company policy is that you will be paid for this vacation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time even if you terminate employment. In this situation, your four days of vacation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pay are vested, and your employer must accrue the amount.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Now assume that your vacation days are not vested, but that you can carry the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four days over into later periods. Although the rights are not vested, they are accumulated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rights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for which the employer must make an accrual. However, the amount of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accrual is adjusted to allow for estimated forfeitures due to turnover.</w:t>
      </w:r>
    </w:p>
    <w:p w:rsidR="00711E40" w:rsidRPr="002A2830" w:rsidRDefault="00711E40" w:rsidP="002B6D88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 modification of the general rules relates to the issue of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sick pay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If sick pay benefits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vest, a company must accrue them. If sick pay benefits accumulate but do not vest,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company may choose whether to accrue them. Why this distinction? Companies may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administer compensation designated as sick pay in one of two ways. In some companies,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employees receive sick pay only if illness causes their absence. Therefore, these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may or may not accrue a liability because its payment depends on future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employee illness. Other companies allow employees to accumulate unused sick pay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take compensated time off from work even when not ill. For this type of sick pay,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company must accrue a liability because the company will pay it, regardless of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whether employees become ill.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Companies should recognize the expense and related liability for compensated</w:t>
      </w:r>
      <w:r w:rsidR="002B6D88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absences in the year earned by employees. </w:t>
      </w:r>
    </w:p>
    <w:p w:rsidR="002B6D88" w:rsidRPr="002A2830" w:rsidRDefault="002B6D88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Bonus Agreements</w:t>
      </w:r>
    </w:p>
    <w:p w:rsidR="002B6D88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Many companies give a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bonus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certain or all employees in addition to their regular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salaries or wages. Frequently the bonus amount depends on the company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yearly profit. 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company may consider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bonus payments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to employees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 additional wages and should include them as a deduction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determining the net income for the year.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illustrate the entries for an employee bonus, assume that Palmer Inc. shows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income for the year 2010 of $100,000. It will pay out bonuses of $10,700 in January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2011. Palmer makes an adjusting entry dated December 31, 2010, to record the</w:t>
      </w:r>
      <w:r w:rsidR="002B6D88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bonuses as follows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>:</w:t>
      </w:r>
    </w:p>
    <w:p w:rsidR="00711E40" w:rsidRPr="002A2830" w:rsidRDefault="00CE17C6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>Employees</w:t>
      </w:r>
      <w:r w:rsidR="00711E40"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Bonus Expense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>10,700</w:t>
      </w:r>
    </w:p>
    <w:p w:rsidR="00711E40" w:rsidRPr="002A2830" w:rsidRDefault="00CE17C6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Profit-Sharing Bonus Payable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>10,700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January 2011, when Palmer pays the bonus, it makes this journal entry:</w:t>
      </w:r>
    </w:p>
    <w:p w:rsidR="00711E40" w:rsidRPr="002A2830" w:rsidRDefault="00CE17C6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>Profit-Sharing Bonus Payable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10,700</w:t>
      </w:r>
    </w:p>
    <w:p w:rsidR="00711E40" w:rsidRPr="002A2830" w:rsidRDefault="00CE17C6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    </w:t>
      </w:r>
      <w:r w:rsidR="00711E40" w:rsidRPr="002A2830">
        <w:rPr>
          <w:rFonts w:ascii="Palatino-Roman" w:eastAsia="Palatino-Roman" w:hAnsi="TheSans-B7Bold" w:cs="TheSans-B7Bold"/>
          <w:bCs/>
          <w:sz w:val="24"/>
          <w:szCs w:val="24"/>
        </w:rPr>
        <w:t>10,700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Palmer should show the expense account in the income statement as an operating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expense.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The liability, Profit-Sharing Bonus Payable, is usually payable within a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short period of time. Companies should include it as a current liability in the balance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sheet.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Similar to bonus agreements are contractual agreements for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conditional expenses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Examples would be agreements covering rents or royalty payments conditional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the amount of revenues earned or the quantity of product produced or extracted.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Conditional expenses based on revenues or units produced are usually less difficult to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compute than bonus arrangements.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example, assume that a lease calls for a fixed rent payment of $500 per month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1 percent of all sales over $300,000 per year. The company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annual rent obligation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would amount to $6,000 plus $0.01 of each dollar of revenue over $300,000. Or, a royalty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agreement may give to a patent owner $1 for every ton of product resulting from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patented process, or give to a mineral rights owner $0.50 on every barrel of oil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extracted. As the company produces or extracts each additional unit of product, it</w:t>
      </w:r>
      <w:r w:rsidR="00CE17C6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creates an additional obligation, usually a current liability.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30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30"/>
          <w:szCs w:val="24"/>
        </w:rPr>
        <w:lastRenderedPageBreak/>
        <w:t>CONTINGENCIES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often are involved in situations where uncertainty exists about whether an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obligation to transfer cash or other assets has arisen and/or the 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amount that will be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required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settle the obligation. For example:</w:t>
      </w:r>
    </w:p>
    <w:p w:rsidR="00711E40" w:rsidRPr="002A2830" w:rsidRDefault="00711E40" w:rsidP="00BE57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Merck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may be a defendant in a lawsuit, and any payment is contingent upon the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outcome of a settlement or an administrative or court proceeding.</w:t>
      </w:r>
    </w:p>
    <w:p w:rsidR="00711E40" w:rsidRPr="002A2830" w:rsidRDefault="00711E40" w:rsidP="00BE57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Ford Motor Co.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provides a warranty for a car it sells, and any payments are contingent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the number of cars that qualify for benefits under the warranty.</w:t>
      </w:r>
    </w:p>
    <w:p w:rsidR="00711E40" w:rsidRPr="002A2830" w:rsidRDefault="00711E40" w:rsidP="00BE57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Briggs &amp; Stratton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acts as a guarantor on a loan for another entity, and any payment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contingent on whether the other entity defaults.</w:t>
      </w:r>
    </w:p>
    <w:p w:rsidR="00D74CC7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Broadly, these situations are called contingencies. A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contingency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is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 existing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condition, situation, or set of circumstances involving uncertainty as to possible gain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(gain contingency)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or loss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(loss contingency)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an enterprise that will ultimately be</w:t>
      </w:r>
      <w:r w:rsidR="00D74CC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resolved when one or more future events occur or fail to occur.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</w:p>
    <w:p w:rsidR="00167205" w:rsidRPr="002A2830" w:rsidRDefault="00167205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GAIN CONTINGENCIES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Gain contingencies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are claims or rights to receive assets (or have a liability reduced)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whose existence is uncertain but which may become valid eventually. The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typical gain contingencies are: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1.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Possible receipts of monies from gifts, donations, bonuses, and so on.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2.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Possible refunds from the government in tax disputes.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3.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Pending court cases with a probable favorable outcome.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4. 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>Tax loss carryforwards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follow a conservative policy in this area. Except for tax loss carryforwards,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they do not record gain contingencies. A company discloses gain contingencies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the notes only when a high probability exists for realizing them. As a result, it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unusual to find information about contingent gains in the financial statements and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accompanying notes. 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following excerpt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presents an example of a gain contingency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disclosure.</w:t>
      </w:r>
    </w:p>
    <w:p w:rsidR="00711E40" w:rsidRPr="002A2830" w:rsidRDefault="00711E40" w:rsidP="00711E40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noProof/>
          <w:sz w:val="24"/>
          <w:szCs w:val="24"/>
        </w:rPr>
        <w:drawing>
          <wp:inline distT="0" distB="0" distL="0" distR="0">
            <wp:extent cx="6858000" cy="1382443"/>
            <wp:effectExtent l="19050" t="0" r="0" b="0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8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05" w:rsidRPr="002A2830" w:rsidRDefault="00167205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LOSS CONTINGENCIES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Loss contingencies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involve possible losses. A liability incurred as a result of a loss contingency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is by definition a contingent liability.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Contingent liabilities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depend on the occurrence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one or more future events to confirm either the amount payable, the payee,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date payable, or its existence. That is, these factors depend on a contingency.</w:t>
      </w:r>
    </w:p>
    <w:p w:rsidR="00167205" w:rsidRPr="002A2830" w:rsidRDefault="00167205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Likelihood of Loss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When a loss contingency exists, the likelihood that the future event or events will confirm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incurrence of a liability can range from probable to remote. The FASB uses the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terms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probable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reasonably possible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, and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remote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identify three areas within that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range and assigns the following meanings.</w:t>
      </w:r>
    </w:p>
    <w:p w:rsidR="00012092" w:rsidRPr="002A2830" w:rsidRDefault="00012092" w:rsidP="00BE57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Probable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The future event or events are likely to occur.</w:t>
      </w:r>
    </w:p>
    <w:p w:rsidR="00012092" w:rsidRPr="002A2830" w:rsidRDefault="00012092" w:rsidP="00BE57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Reasonably possible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The chance of the future event or events occurring is more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than remote but less than likely.</w:t>
      </w:r>
    </w:p>
    <w:p w:rsidR="00012092" w:rsidRPr="002A2830" w:rsidRDefault="00012092" w:rsidP="00BE57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Remote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The chance of the future event or events occurring is slight.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should accrue an estimated loss from a loss contingency by a charge to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expense and a liability recorded only if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both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the following conditions are met.</w:t>
      </w:r>
    </w:p>
    <w:p w:rsidR="00012092" w:rsidRPr="002A2830" w:rsidRDefault="00012092" w:rsidP="00BE57B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Information available prior to the issuance of the financial statements indicates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that it is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probable that a liability has been incurred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at the date of the financial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statements.</w:t>
      </w:r>
    </w:p>
    <w:p w:rsidR="00012092" w:rsidRPr="002A2830" w:rsidRDefault="00012092" w:rsidP="00BE57B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amount of the loss can be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reasonably estimated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record a liability, a company does not need to know the exact payee nor the exact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date payable.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What a company must know is whether it is probable that it incurred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 liability.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meet the second criterion, a company needs to be able to reasonably determine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 amount for the liability. To determine a reasonable estimate of the liability, a company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may use its own experience, experience of other companies in the industry, engineering</w:t>
      </w:r>
      <w:r w:rsidR="0016720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or research studies, legal advice, or educated guesses by qualified personnel.</w:t>
      </w:r>
    </w:p>
    <w:p w:rsidR="00012092" w:rsidRPr="002A2830" w:rsidRDefault="003349F2" w:rsidP="003349F2">
      <w:pPr>
        <w:autoSpaceDE w:val="0"/>
        <w:autoSpaceDN w:val="0"/>
        <w:adjustRightInd w:val="0"/>
        <w:ind w:left="0"/>
        <w:jc w:val="left"/>
        <w:rPr>
          <w:rFonts w:ascii="Palatino-Roman" w:eastAsia="Palatino-Roman" w:cs="Palatino-Roman"/>
          <w:sz w:val="20"/>
          <w:szCs w:val="20"/>
        </w:rPr>
      </w:pPr>
      <w:r w:rsidRPr="002A2830">
        <w:rPr>
          <w:rFonts w:ascii="Palatino-Roman" w:eastAsia="Palatino-Roman" w:cs="Palatino-Roman"/>
          <w:sz w:val="20"/>
          <w:szCs w:val="20"/>
        </w:rPr>
        <w:t>The following i</w:t>
      </w:r>
      <w:r w:rsidR="00012092" w:rsidRPr="002A2830">
        <w:rPr>
          <w:rFonts w:ascii="Palatino-Roman" w:eastAsia="Palatino-Roman" w:cs="Palatino-Roman"/>
          <w:sz w:val="20"/>
          <w:szCs w:val="20"/>
        </w:rPr>
        <w:t>llustration shows an accrual recorded for a loss contingency, from the annual report</w:t>
      </w:r>
      <w:r w:rsidRPr="002A2830">
        <w:rPr>
          <w:rFonts w:ascii="Palatino-Roman" w:eastAsia="Palatino-Roman" w:cs="Palatino-Roman"/>
          <w:sz w:val="20"/>
          <w:szCs w:val="20"/>
        </w:rPr>
        <w:t xml:space="preserve"> </w:t>
      </w:r>
      <w:r w:rsidR="00012092" w:rsidRPr="002A2830">
        <w:rPr>
          <w:rFonts w:ascii="Palatino-Roman" w:eastAsia="Palatino-Roman" w:cs="Palatino-Roman"/>
          <w:sz w:val="20"/>
          <w:szCs w:val="20"/>
        </w:rPr>
        <w:t xml:space="preserve">of </w:t>
      </w:r>
      <w:r w:rsidR="00012092" w:rsidRPr="002A2830">
        <w:rPr>
          <w:rFonts w:ascii="Palatino-Bold" w:eastAsia="Palatino-Roman" w:hAnsi="Palatino-Bold" w:cs="Palatino-Bold"/>
          <w:b/>
          <w:bCs/>
          <w:sz w:val="20"/>
          <w:szCs w:val="20"/>
        </w:rPr>
        <w:t>Quaker State Oil Refining Company</w:t>
      </w:r>
      <w:r w:rsidR="00012092" w:rsidRPr="002A2830">
        <w:rPr>
          <w:rFonts w:ascii="Palatino-Roman" w:eastAsia="Palatino-Roman" w:cs="Palatino-Roman"/>
          <w:sz w:val="20"/>
          <w:szCs w:val="20"/>
        </w:rPr>
        <w:t>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noProof/>
          <w:sz w:val="24"/>
          <w:szCs w:val="24"/>
        </w:rPr>
        <w:drawing>
          <wp:inline distT="0" distB="0" distL="0" distR="0">
            <wp:extent cx="6858000" cy="1663354"/>
            <wp:effectExtent l="19050" t="0" r="0" b="0"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6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Use of the terms probable, reasonably possible, and remote to classify contingencies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involves judgment and subjectivity. 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following table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lists examples of loss contingencies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the general accounting treatment accorded them.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noProof/>
          <w:sz w:val="24"/>
          <w:szCs w:val="24"/>
        </w:rPr>
        <w:lastRenderedPageBreak/>
        <w:drawing>
          <wp:inline distT="0" distB="0" distL="0" distR="0">
            <wp:extent cx="6853628" cy="4095750"/>
            <wp:effectExtent l="19050" t="0" r="4372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9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Practicing accountants express concern over the diversity that now exists in the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interpretation of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probable,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reasonably possible,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and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remote.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Current practice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relies heavily on the exact language used in responses received from lawyers (such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language is necessarily biased and protective rather than predictive). As a result, accruals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disclosures of contingencies vary considerably in practice. Some of the more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common loss contingencies are: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1.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Litigation, claims, and assessments.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2.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Guarantee and warranty costs.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3.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Premiums and coupons.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4.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Environmental liabilities.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 discussed in the opening story, companies do not record or report in the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notes to the financial statements general risk contingencies inherent in business operations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(e.g., the possibility of war, strike, uninsurable catastrophes, or a business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recession).</w:t>
      </w:r>
    </w:p>
    <w:p w:rsidR="003349F2" w:rsidRPr="002A2830" w:rsidRDefault="003349F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Litigation, Claims, and Assessments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must consider the following factors, among others, in determining whether</w:t>
      </w:r>
      <w:r w:rsidR="003349F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to record a liability with respect to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pending or threatened litigation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actual or possible</w:t>
      </w:r>
    </w:p>
    <w:p w:rsidR="00012092" w:rsidRPr="002A2830" w:rsidRDefault="003349F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Claims</w:t>
      </w:r>
      <w:r w:rsidR="0001209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and </w:t>
      </w:r>
      <w:r w:rsidR="0001209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assessments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1.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time period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which the underlying cause of action occurred.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2.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probability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an unfavorable outcome.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3.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ability to make a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reasonable estimate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the amount of loss.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 xml:space="preserve">To report a loss and a liability in the financial statements,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the cause for litigation</w:t>
      </w:r>
      <w:r w:rsidR="003349F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must have occurred on or before the date of the financial statements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It does not</w:t>
      </w:r>
      <w:r w:rsidR="003349F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matter that the company became aware of the existence or possibility of the lawsuit</w:t>
      </w:r>
      <w:r w:rsidR="003349F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or claims after the date of the financial statements but before issuing them. To evaluate</w:t>
      </w:r>
      <w:r w:rsidR="003349F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probability of an unfavorable outcome, a company considers the following:</w:t>
      </w:r>
      <w:r w:rsidR="003349F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nature of the litigation; the progress of the case; the opinion of legal counsel; its</w:t>
      </w:r>
      <w:r w:rsidR="003349F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own and others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experience in similar cases; and any management response to the</w:t>
      </w:r>
      <w:r w:rsidR="003349F2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lawsuit.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can seldom predict the outcome of pending litigation, however, with</w:t>
      </w:r>
      <w:r w:rsidR="007214D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any assurance. And, even if evidence available at the balance sheet date does not</w:t>
      </w:r>
      <w:r w:rsidR="007214D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favor the company, it is hardly reasonable to expect the company to publish in its</w:t>
      </w:r>
      <w:r w:rsidR="007214D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financial statements a dollar estimate of the probable negative outcome. Such specific</w:t>
      </w:r>
      <w:r w:rsidR="007214D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disclosures might weaken the company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position in the dispute and encourage the</w:t>
      </w:r>
      <w:r w:rsidR="007214D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plaintiff to intensify its efforts. 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</w:p>
    <w:p w:rsidR="007214D9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With respect to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unfiled suits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and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unasserted claims and assessments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, a company</w:t>
      </w:r>
      <w:r w:rsidR="007214D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must determine (1) the degree of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probability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a suit may be filed or a claim or</w:t>
      </w:r>
      <w:r w:rsidR="007214D9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assessment may be asserted, and (2)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probability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of an unfavorable outcome. </w:t>
      </w:r>
    </w:p>
    <w:p w:rsidR="008C5EB5" w:rsidRPr="002A2830" w:rsidRDefault="008C5EB5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Guarantee and Warranty Costs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warranty (product guarantee)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a promise made by a seller to a buyer to make good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a deficiency of quantity, quality, or performance in a product. Manufacturers commonly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use it as a sales promotion technique. Automakers, for instance,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hyped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their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sales by extending their new-car warranty to seven years or 100,000 miles. For a specified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period of time following the date of sale to the consumer, the manufacturer may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promise to bear all or part of the cost of replacing defective parts, to perform any necessary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repairs or servicing without charge, to refund the purchase price, or even to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double your money back.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Warranties and guarantees entail future costs. These additional costs, sometimes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called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after costs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or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post-sale costs,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frequently are significant. Although the future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cost is indefinite as to amount, due date, and even customer, a liability is probable in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most cases. Companies should recognize this liability in the accounts if they can reasonably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estimate it. The estimated amount of the liability includes all the costs that the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company will incur after sale and delivery and that are incident to the correction of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defects or deficiencies required under the warranty provisions. Warranty costs are a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classic example of a loss contingency.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use two basic methods of accounting for warranty costs: (1) the cash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basis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method and (2) the accrual method.</w:t>
      </w:r>
    </w:p>
    <w:p w:rsidR="008C5EB5" w:rsidRPr="002A2830" w:rsidRDefault="008C5EB5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Cash Basis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Under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cash-basis method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, companies expense warranty costs as incurred. In other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words, a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seller or manufacturer charges warranty costs to the period in which it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complies with the warranty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The company does not record a liability for future costs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arising from warranties, nor does it charge the period of sale. Companies frequently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justify use of this method, the only one recognized for income tax purposes, on the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basis of expediency when warranty costs are immaterial or when the warranty period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is relatively short. A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company must use the cash-basis method when it does not accrue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warranty liability in the year of sale either because:</w:t>
      </w:r>
    </w:p>
    <w:p w:rsidR="00012092" w:rsidRPr="002A2830" w:rsidRDefault="00012092" w:rsidP="00BE57B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it is not probable that a liability has been incurred, or</w:t>
      </w:r>
    </w:p>
    <w:p w:rsidR="00012092" w:rsidRPr="002A2830" w:rsidRDefault="00012092" w:rsidP="00BE57B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it cannot reasonably estimate the amount of the liability.</w:t>
      </w:r>
    </w:p>
    <w:p w:rsidR="008C5EB5" w:rsidRPr="002A2830" w:rsidRDefault="008C5EB5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Accrual Basis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If it is probable that customers will make warranty claims and a company can reasonably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estimate the costs involved, the company must use the accrual method.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Under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accrual method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, companies charge warranty costs to operating expense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in the year of sale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The accrual method is the generally accepted method. Companies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should use it whenever the warranty is an integral and inseparable part of the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sale and is viewed as a loss contingency. We refer to this approach as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expense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warranty approach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i/>
          <w:iCs/>
          <w:sz w:val="24"/>
          <w:szCs w:val="24"/>
        </w:rPr>
        <w:t xml:space="preserve">Example of Expense Warranty Approach.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illustrate the expense warranty method,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assume that Denson Machinery Company begins production on a new machine in July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2010, and sells 100 units at $5,000 each by its year-end, December 31, 2010. Each machine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is under warranty for one year. Denson 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>estimates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based on past experience with a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similar machine, that the warranty cost will average $200 per unit. Further, as a result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parts replacements and services rendered in compliance with machinery warranties,</w:t>
      </w:r>
      <w:r w:rsidR="008C5EB5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it incurs $4,000 in warranty costs in 2010 and $16,000 in 2011.</w:t>
      </w:r>
    </w:p>
    <w:p w:rsidR="00012092" w:rsidRPr="002A2830" w:rsidRDefault="00012092" w:rsidP="00BE5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Sale of 100 machines at $5,000 each, July through December 2010: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or Accounts Receivable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500,000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Sales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500,000</w:t>
      </w:r>
    </w:p>
    <w:p w:rsidR="00012092" w:rsidRPr="002A2830" w:rsidRDefault="00012092" w:rsidP="00BE5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Recognition of warranty expense, July through December 2010: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Warranty Expense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4,000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Cash, Inventory, Accrued Payroll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4,000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i/>
          <w:sz w:val="20"/>
          <w:szCs w:val="20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</w:t>
      </w:r>
      <w:r w:rsidR="00012092"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(Warranty costs incurred)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Warranty Expense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16,000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Liability under Warranties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16,000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i/>
          <w:sz w:val="20"/>
          <w:szCs w:val="20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</w:t>
      </w:r>
      <w:r w:rsidR="00012092"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(To accrue estimated warranty costs)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 December 31, 2010, balance sheet reports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Estimated liability under warranties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as a current liability of $16,000, and the income statement for 2010 reports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Warranty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expense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of $20,000.</w:t>
      </w:r>
    </w:p>
    <w:p w:rsidR="00012092" w:rsidRPr="002A2830" w:rsidRDefault="00012092" w:rsidP="00BE5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Recognition of warranty costs incurred in 2011 (on 2010 machinery sales):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Liability under Warranties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16,000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Cash, Inventory, Accrued Payroll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16,000</w:t>
      </w:r>
    </w:p>
    <w:p w:rsidR="00012092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i/>
          <w:sz w:val="20"/>
          <w:szCs w:val="20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</w:t>
      </w:r>
      <w:r w:rsidR="00012092" w:rsidRPr="002A2830">
        <w:rPr>
          <w:rFonts w:ascii="Palatino-Roman" w:eastAsia="Palatino-Roman" w:hAnsi="TheSans-B7Bold" w:cs="TheSans-B7Bold"/>
          <w:b/>
          <w:bCs/>
          <w:i/>
          <w:sz w:val="20"/>
          <w:szCs w:val="20"/>
        </w:rPr>
        <w:t>(Warranty costs incurred)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If Denson Machinery applies the cash-basis method, it reports $4,000 as warranty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expense in 2010 and $16,000 as warranty expense in 2011. It records all of the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sale price as revenue in 2010. In many instances, application of the cash-basis method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fails to match the warranty costs relating to the products sold during a given period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with the revenues derived from such products. As such,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it violates the expense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recognition principle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Where ongoing warranty policies exist year after year, the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differences between the cash and the expense warranty bases probably would not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 so great.</w:t>
      </w:r>
    </w:p>
    <w:p w:rsidR="0067326E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i/>
          <w:iCs/>
          <w:sz w:val="24"/>
          <w:szCs w:val="24"/>
        </w:rPr>
      </w:pPr>
    </w:p>
    <w:p w:rsidR="0067326E" w:rsidRPr="002A2830" w:rsidRDefault="0067326E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i/>
          <w:i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i/>
          <w:iCs/>
          <w:sz w:val="24"/>
          <w:szCs w:val="24"/>
        </w:rPr>
        <w:lastRenderedPageBreak/>
        <w:t xml:space="preserve">Sales Warranty Approach.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 warranty is sometimes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sold separately from the product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example, when you purchase a television set or DVD player, you are entitled to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manufacturer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warranty. You also will undoubtedly be offered an extended warranty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the product at an additional cost.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this case, the seller should recognize separately the sale of the television or DVD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player, with the manufacturer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 warranty and the sale of the extended warranty. 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This approach is referred to as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sales warranty approach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.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Companies defer revenue</w:t>
      </w:r>
      <w:r w:rsidR="0067326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on the sale of the extended warranty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generally recognize it on a straight-line basis</w:t>
      </w:r>
      <w:r w:rsidR="0067326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over the life of the contract. The seller of the warranty defers revenue because it has</w:t>
      </w:r>
      <w:r w:rsidR="0067326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 obligation to perform services over the life of the contract. The seller should only</w:t>
      </w:r>
      <w:r w:rsidR="0067326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defer and amortize costs that vary with and are directly related to the sale of the contracts</w:t>
      </w:r>
      <w:r w:rsidR="0067326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(mainly commissions). It expenses those costs, such as employees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salaries, advertising,</w:t>
      </w:r>
      <w:r w:rsidR="0067326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general and administrative expenses, that it would have incurred even if</w:t>
      </w:r>
      <w:r w:rsidR="0067326E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it did not sell a contract.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illustrate, assume you purchase a new automobile from Hanlin Auto for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$20,000. In addition to the regular warranty on the auto (the manufacturer will pay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all repairs for the first 36,000 miles or three years, whichever comes first), you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purchase at a cost of $600 an extended warranty that protects you for an additional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three years or 36,000 miles. Hanlin Auto records the sale of the automobile (with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regular warranty) and the sale of the extended warranty on January 2, 2010, as</w:t>
      </w:r>
      <w:r w:rsidR="0067326E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follows:</w:t>
      </w:r>
    </w:p>
    <w:p w:rsidR="00012092" w:rsidRPr="002A2830" w:rsidRDefault="00B70C94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20,600</w:t>
      </w:r>
    </w:p>
    <w:p w:rsidR="00012092" w:rsidRPr="002A2830" w:rsidRDefault="00B70C94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Sales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20,000</w:t>
      </w:r>
    </w:p>
    <w:p w:rsidR="00012092" w:rsidRPr="002A2830" w:rsidRDefault="00B70C94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Unearned Warranty Revenue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600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It recognizes revenue at the end of the fourth year (using straight-line amortization) as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follows.</w:t>
      </w:r>
    </w:p>
    <w:p w:rsidR="00012092" w:rsidRPr="002A2830" w:rsidRDefault="005D666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Unearned Warranty Revenue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200</w:t>
      </w:r>
    </w:p>
    <w:p w:rsidR="00012092" w:rsidRPr="002A2830" w:rsidRDefault="005D666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Warranty Revenue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200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Because the extended warranty contract only starts after the regular warranty expires,</w:t>
      </w:r>
      <w:r w:rsidR="005D666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Hanlin Auto defers revenue recognition until the fourth year. If it incurs the costs of</w:t>
      </w:r>
      <w:r w:rsidR="005D666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performing services under the extended warranty contract on other than a straight-line</w:t>
      </w:r>
      <w:r w:rsidR="005D666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basis (as historical evidence might indicate), Hanlin Auto should recognize revenue</w:t>
      </w:r>
      <w:r w:rsidR="005D666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over the contract period in proportion to the costs it expected to incur in performing</w:t>
      </w:r>
      <w:r w:rsidR="005D666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services under the contract. </w:t>
      </w:r>
    </w:p>
    <w:p w:rsidR="005D666B" w:rsidRPr="002A2830" w:rsidRDefault="005D666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Premiums and Coupons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Numerous companies offer premiums (either on a limited or continuing basis) to customers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 return for boxtops, certificates, coupons, labels, or wrappers.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premium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may be silverware, dishes, a small appliance, a toy, or free transportation. Also,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printed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coupons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can be redeemed for a cash discount on items purchased are extremely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popular. A more recent marketing innovation is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cash rebate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, which the buyer can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obtain by returning the store receipt, a rebate coupon, and Universal Product Code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(UPC label) or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bar code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to the manufacturer.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offer premiums, coupon offers, and rebates to stimulate sales.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Thus companies should charge the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costs of premiums and coupons to expense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in the period of the sale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that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benefits from the plan. The period that benefits is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not necessarily the period in which the company offered the premium. At the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end of the accounting period many premium offers may be outstanding and must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 redeemed when presented in subsequent periods. In order to reflect the existing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current liability and to match costs with revenues, the company estimates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number of outstanding premium offers that customers will present for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redemption. The company then charges the cost of premium offers to Premium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Expense. It credits the outstanding obligations to an account titled Liability for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Premiums or Premium Liability.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following example illustrates the accounting treatment for a premium offer.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Fluffy Cakemix Company offered its customers a large nonbreakable mixing bowl in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exchange for 25 cents and 10 boxtops. The mixing bowl costs Fluffy Cakemix Company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75 cents, and the company estimates that customers will redeem 60 percent of the boxtops.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premium offer began in June 2010 and resulted in the transactions journalized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below. Fluffy Cakemix Company records purchase of 20,000 mixing bowls at 75 cents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 follows.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Inventory of Premium Mixing Bowls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15,000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15,000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entry to record sales of 300,000 boxes of cake mix at 80 cents would be: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240,000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Sales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240,000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Fluffy records the actual redemption of 60,000 boxtops, the receipt of 25 cents per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10 boxtops, and the delivery of the mixing bowls as follows.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Cash [(60,000 / 10) x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$0.25]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1,500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Premium Expense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3,000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Inventory of Premium Mixing Bowls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4,500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Computation: (60,000 _ 10) _ $0.75 _ $4,500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Finally, Fluffy makes an end-of-period adjusting entry for estimated liability for</w:t>
      </w:r>
      <w:r w:rsidR="0029608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outstanding premium offers (boxtops) as follows.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Premium Expense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6,000</w:t>
      </w:r>
    </w:p>
    <w:p w:rsidR="00012092" w:rsidRPr="002A2830" w:rsidRDefault="00296087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Liability for Premiums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6,000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Computation:</w:t>
      </w:r>
    </w:p>
    <w:p w:rsidR="00012092" w:rsidRPr="002A2830" w:rsidRDefault="00DE0073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Total boxtops sold in 2010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  <w:u w:val="double"/>
        </w:rPr>
        <w:t>300,000</w:t>
      </w:r>
    </w:p>
    <w:p w:rsidR="00012092" w:rsidRPr="002A2830" w:rsidRDefault="00DE0073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Total estimated redemptions (60%)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180,000</w:t>
      </w:r>
    </w:p>
    <w:p w:rsidR="00012092" w:rsidRPr="002A2830" w:rsidRDefault="00DE0073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Boxtops redeemed in 2010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  <w:u w:val="single"/>
        </w:rPr>
        <w:t>60,000</w:t>
      </w:r>
    </w:p>
    <w:p w:rsidR="00012092" w:rsidRPr="002A2830" w:rsidRDefault="00DE0073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Estimated future redemptions 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120,000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Cost of estimated claims outstanding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(120,000 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>/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10) 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>x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($0.75 _ $0.25) 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>=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$6,000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December 31, 2010, balance sheet of Fluffy Cakemix Company reports an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Inventory of premium mixing bowls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of $10,500 as a current asset and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Liability for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premiums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of $6,000 as a current liability. The 2010 income statement reports a $9,000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Premium expense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among the selling expenses.</w:t>
      </w:r>
    </w:p>
    <w:p w:rsidR="00E50E70" w:rsidRPr="002A2830" w:rsidRDefault="00E50E70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E50E70" w:rsidRPr="002A2830" w:rsidRDefault="00E50E70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E50E70" w:rsidRPr="002A2830" w:rsidRDefault="00E50E70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E50E70" w:rsidRPr="002A2830" w:rsidRDefault="00E50E70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lastRenderedPageBreak/>
        <w:t>Environmental Liabilities</w:t>
      </w:r>
    </w:p>
    <w:p w:rsidR="00E50E70" w:rsidRPr="002A2830" w:rsidRDefault="00012092" w:rsidP="00674C3B">
      <w:pPr>
        <w:autoSpaceDE w:val="0"/>
        <w:autoSpaceDN w:val="0"/>
        <w:adjustRightInd w:val="0"/>
        <w:ind w:left="0"/>
        <w:jc w:val="left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Estimates to clean up existing toxic waste sites total upward of $752 billion over a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30-year period. In addition, cost estimates of cleaning up our air and preventing future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deterioration of the environment run even higher. Consider some average environmental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costs per company for various industries: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</w:t>
      </w:r>
      <w:r w:rsidR="00E50E70" w:rsidRPr="002A2830">
        <w:rPr>
          <w:rFonts w:ascii="Palatino-Roman" w:eastAsia="Palatino-Roman" w:hAnsi="TheSans-B7Bold" w:cs="TheSans-B7Bold"/>
          <w:bCs/>
          <w:noProof/>
          <w:sz w:val="24"/>
          <w:szCs w:val="24"/>
        </w:rPr>
        <w:drawing>
          <wp:inline distT="0" distB="0" distL="0" distR="0">
            <wp:extent cx="5629275" cy="9334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These costs are likely to only grow, considering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Superfund legislation.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This federal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legislation provides the Environmental Protection Agency (EPA) with the power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clean up waste sites and charge the clean-up costs to parties the EPA deems responsible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contaminating the site. These potentially responsible parties can have a significant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liability.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many industries, the construction and operation of long-lived assets involves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obligations for the retirement of those assets. When a mining company opens up a strip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mine, it may also commit to restore the land once it completes mining. Similarly, when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 oil company erects an offshore drilling platform, it may be legally obligated to dismantle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and remove the platform at the end of its useful life.</w:t>
      </w:r>
    </w:p>
    <w:p w:rsidR="00E50E70" w:rsidRPr="002A2830" w:rsidRDefault="00E50E70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14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Accounting Recognition of Asset Retirement Obligations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 company must recognize an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asset retirement obligation (ARO)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when it has an existing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legal obligation associated with the retirement of a long-lived asset and when it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can reasonably estimate the amount of the liability. Companies should record the ARO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at fair value. 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i/>
          <w:iCs/>
          <w:sz w:val="24"/>
          <w:szCs w:val="24"/>
        </w:rPr>
        <w:t xml:space="preserve">Obligating Events.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Examples of existing legal obligations, which require recognition of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liability include, but are not limited to: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•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decommissioning nuclear facilities,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•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dismantling, restoring, and reclamation of oil and gas properties,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•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certain closure, reclamation, and removal costs of mining facilities,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•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closure and post-closure costs of landfills.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 order to capture the benefits of these long-lived assets,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the company is generally</w:t>
      </w:r>
      <w:r w:rsidR="00E50E70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legally obligated for the costs associated with retirement of the asset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whether</w:t>
      </w:r>
      <w:r w:rsidR="00E50E70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the company hires another party to perform the retirement activities or performs the</w:t>
      </w:r>
      <w:r w:rsidR="00E50E70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activities with its own workforce and equipment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AROs give rise to various recognition</w:t>
      </w:r>
      <w:r w:rsidR="00E50E70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patterns. For example, the obligation may arise at the outset of the asset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use (e.g.,</w:t>
      </w:r>
      <w:r w:rsidR="00E50E70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erection of an oil-rig), or it may build over time (e.g., a landfill 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that expands over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time).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i/>
          <w:iCs/>
          <w:sz w:val="24"/>
          <w:szCs w:val="24"/>
        </w:rPr>
        <w:t xml:space="preserve">Measurement.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 company initially measures an ARO at fair value, which is defined as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amount that the company would pay in an active market to settle the ARO. While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active markets do not exist for many AROs, companies should estimate fair value based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the best information available. Such information could include market prices of similar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liabilities, if available. Alternatively, companies may use present value techniques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estimate fair value.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i/>
          <w:iCs/>
          <w:sz w:val="24"/>
          <w:szCs w:val="24"/>
        </w:rPr>
        <w:lastRenderedPageBreak/>
        <w:t xml:space="preserve">Recognition and Allocation.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record an ARO in the financial statements, a company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includes the cost associated with the ARO in the carrying amount of the related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long-lived asset, and records a liability for the same amount. It records an asset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retirement cost as part of the related asset because these costs are tied to operating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asset and are necessary to prepare the asset for its intended use. Therefore, the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specific asset (e.g., mine, drilling platform, nuclear power plant) should be increased</w:t>
      </w:r>
      <w:r w:rsidR="00E50E70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because the future economic benefit comes from the use of this productive asset.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Companies should not record the capitalized asset retirement costs in a separate</w:t>
      </w:r>
      <w:r w:rsidR="00E50E70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account because there is no future economic benefit that can be associated with</w:t>
      </w:r>
      <w:r w:rsidR="00E50E70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these costs alone.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subsequent periods, companies allocate the cost of the ARO to expense over the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period of the related asset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’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 useful life. Companies may use the straight-line method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this allocation, as well as other systematic and rational allocations.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i/>
          <w:iCs/>
          <w:sz w:val="24"/>
          <w:szCs w:val="24"/>
        </w:rPr>
        <w:t xml:space="preserve">Example of ARO Accounting Provisions.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illustrate the accounting for AROs, assume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on January 1, 2010, Wildcat Oil Company erected an oil platform in the Gulf of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Mexico. Wildcat is legally required to dismantle and remove the platform at the end of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its useful life, estimated to be five years. Wildcat estimates that dismantling and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removal will cost $1,000,000. Based on a 10 percent discount rate, the fair value of the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asset retirement obligation is estimated to be $620,920 ($1,000,000 _ .62092). Wildcat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records this ARO as follows.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January 1, 2010</w:t>
      </w:r>
      <w:r w:rsidR="00B82C17"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      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Drilling Platform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620,920</w:t>
      </w:r>
    </w:p>
    <w:p w:rsidR="00012092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</w:t>
      </w:r>
      <w:r w:rsidR="00B82C17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Asset Retirement Obligation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620,920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During the life of the asset, Wildcat allocates the asset retirement cost to expense.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Using the straight-line method, Wildcat makes the following entries to record this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expense.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December 31, 2010, 2011, 2012, 2013, 2014</w:t>
      </w:r>
    </w:p>
    <w:p w:rsidR="00012092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Depreciation Expense ($620,920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/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5)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124,184</w:t>
      </w:r>
    </w:p>
    <w:p w:rsidR="00012092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Accumulated Depreciation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124,184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 addition, Wildcat must accrue interest expense each period. Wildcat records interest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expense and the related increase in the asset retirement obligation on December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31, 2010, as follows.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December 31, 2010</w:t>
      </w:r>
    </w:p>
    <w:p w:rsidR="00012092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Interest Expense ($620,920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x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10%)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62,092</w:t>
      </w:r>
    </w:p>
    <w:p w:rsidR="00012092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Asset Retirement Obligation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62,092</w:t>
      </w:r>
    </w:p>
    <w:p w:rsidR="00790CCB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On January 10, 2015, Wildcat contracts with Rig Reclaimers, Inc. to dismantle the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platform at a contract price of $995,000. Wildcat makes the following journal entry to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record settlement of the ARO.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January 10, 2015</w:t>
      </w:r>
    </w:p>
    <w:p w:rsidR="00012092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Asset Retirement Obligation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1,000,000</w:t>
      </w:r>
    </w:p>
    <w:p w:rsidR="00012092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Gain on Settlement of ARO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5,000</w:t>
      </w:r>
    </w:p>
    <w:p w:rsidR="00012092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Cash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                                               </w:t>
      </w:r>
      <w:r w:rsidR="00012092" w:rsidRPr="002A2830">
        <w:rPr>
          <w:rFonts w:ascii="Palatino-Roman" w:eastAsia="Palatino-Roman" w:hAnsi="TheSans-B7Bold" w:cs="TheSans-B7Bold"/>
          <w:bCs/>
          <w:sz w:val="24"/>
          <w:szCs w:val="24"/>
        </w:rPr>
        <w:t>995,000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Companies need to provide more extensive disclosure regarding environmental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liabilities. In addition, companies should record more of these liabilities. The SEC believes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companies should not delay recognition of a liability due to significant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uncertainty. The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lastRenderedPageBreak/>
        <w:t>SEC argues that if the liability is within a range, and no amount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within the range is the best estimate, then management should recognize the minimum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amount of the range. That treatment is in accordance with GAAP</w:t>
      </w:r>
      <w:r w:rsidRPr="002A2830">
        <w:rPr>
          <w:rFonts w:ascii="Palatino-Roman" w:eastAsia="Palatino-Roman" w:hAnsi="TheSans-B7Bold" w:cs="TheSans-B7Bold"/>
          <w:bCs/>
          <w:i/>
          <w:iCs/>
          <w:sz w:val="24"/>
          <w:szCs w:val="24"/>
        </w:rPr>
        <w:t xml:space="preserve">.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SEC also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believes that companies should report environmental liabilities in the balance sheet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independent of recoveries from third parties. Thus, companies may not net possible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insurance recoveries against liabilities but must show them separately. Because there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is much litigation regarding recovery of insurance proceeds, these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assets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appear to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be gain contingencies. Therefore, companies should not report these on the balance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sheet.</w:t>
      </w:r>
    </w:p>
    <w:p w:rsidR="00790CCB" w:rsidRPr="002A2830" w:rsidRDefault="00790CCB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12"/>
          <w:szCs w:val="24"/>
        </w:rPr>
      </w:pP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Self-Insurance</w:t>
      </w:r>
    </w:p>
    <w:p w:rsidR="00012092" w:rsidRPr="002A2830" w:rsidRDefault="00012092" w:rsidP="00012092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 discussed earlier, contingencies are not recorded for general risks (e.g., losses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might arise due to poor expected economic conditions). Similarly, companies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do not record contingencies for more specific future risks such as allowances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repairs. The reason: These items do meet the definition of a liability because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they do not arise from a past transaction but instead relate to future events.</w:t>
      </w:r>
    </w:p>
    <w:p w:rsidR="008A629D" w:rsidRPr="002A2830" w:rsidRDefault="00012092" w:rsidP="008A629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Some companies take out insurance policies against the potential losses from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fire, flood, storm, and accident. Other companies do not. The reasons: Some risks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>are not insurable, the insurance rates are prohibitive (e.g., earthquakes and riots), or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>they make a business decision to self-insure. Self-insurance is another item that is not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="008A629D" w:rsidRPr="002A2830">
        <w:rPr>
          <w:rFonts w:ascii="Palatino-Roman" w:eastAsia="Palatino-Roman" w:hAnsi="TheSans-B7Bold" w:cs="TheSans-B7Bold"/>
          <w:bCs/>
          <w:sz w:val="24"/>
          <w:szCs w:val="24"/>
        </w:rPr>
        <w:t>recognized as a contingency.</w:t>
      </w:r>
    </w:p>
    <w:p w:rsidR="008A629D" w:rsidRPr="002A2830" w:rsidRDefault="008A629D" w:rsidP="008A629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Despite its name,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self-insurance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is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not insurance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,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but risk assumption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. Any company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that assumes its own risks puts itself in the position of incurring expenses or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losses as they occur. There is little theoretical justification for the establishment of a liability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based on a hypothetical charge to insurance expense. This is 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“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as if</w:t>
      </w:r>
      <w:r w:rsidRPr="002A2830">
        <w:rPr>
          <w:rFonts w:ascii="Palatino-Roman" w:eastAsia="Palatino-Roman" w:hAnsi="TheSans-B7Bold" w:cs="TheSans-B7Bold" w:hint="eastAsia"/>
          <w:bCs/>
          <w:sz w:val="24"/>
          <w:szCs w:val="24"/>
        </w:rPr>
        <w:t>”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accounting.</w:t>
      </w:r>
    </w:p>
    <w:p w:rsidR="00012092" w:rsidRPr="002A2830" w:rsidRDefault="008A629D" w:rsidP="008A629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conditions for accrual stated in GAAP are not satisfied prior to the occurrence of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the event. Until that time there is no diminution in the value of the property. And unlike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an insurance company, which has contractual obligations to reimburse policyholders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for losses, a company can have no such obligation to itself and, hence, no liability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either before or after the occurrence of damage. The note in 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>the following i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llustration from the annual report of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Adolph Coors</w:t>
      </w:r>
      <w:r w:rsidR="00674C3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Company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typical of the self-insurance disclosure.</w:t>
      </w:r>
    </w:p>
    <w:p w:rsidR="008A629D" w:rsidRPr="002A2830" w:rsidRDefault="008A629D" w:rsidP="008A629D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 w:hint="eastAsia"/>
          <w:bCs/>
          <w:noProof/>
          <w:sz w:val="24"/>
          <w:szCs w:val="24"/>
        </w:rPr>
        <w:drawing>
          <wp:inline distT="0" distB="0" distL="0" distR="0">
            <wp:extent cx="6858000" cy="1085850"/>
            <wp:effectExtent l="19050" t="0" r="0" b="0"/>
            <wp:docPr id="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9D" w:rsidRPr="002A2830" w:rsidRDefault="008A629D" w:rsidP="00B82C17">
      <w:pPr>
        <w:autoSpaceDE w:val="0"/>
        <w:autoSpaceDN w:val="0"/>
        <w:adjustRightInd w:val="0"/>
        <w:ind w:left="0"/>
        <w:rPr>
          <w:rFonts w:ascii="Palatino-Roman" w:eastAsia="Palatino-Roman" w:hAnsi="TheSans-B7Bold" w:cs="TheSans-B7Bold"/>
          <w:bCs/>
          <w:sz w:val="24"/>
          <w:szCs w:val="24"/>
        </w:rPr>
      </w:pP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Exposure to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>risks of loss resulting from uninsured past injury to others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, however,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is an existing condition involving uncertainty about the amount and timing of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losses that may develop. In such a case, a contingency exists. A company with a fleet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of vehicles for example, would have to accrue uninsured losses resulting from injury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others or damage to the property of others that took place prior to the date of the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financial statements (if the experience of the company or other information enables it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make a reasonable estimate of the liability). However, it should not establish a liability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for </w:t>
      </w:r>
      <w:r w:rsidRPr="002A2830">
        <w:rPr>
          <w:rFonts w:ascii="Palatino-Roman" w:eastAsia="Palatino-Roman" w:hAnsi="TheSans-B7Bold" w:cs="TheSans-B7Bold"/>
          <w:b/>
          <w:bCs/>
          <w:sz w:val="24"/>
          <w:szCs w:val="24"/>
        </w:rPr>
        <w:t xml:space="preserve">expected future injury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to others or damage to the property of others, even if</w:t>
      </w:r>
      <w:r w:rsidR="00790CCB" w:rsidRPr="002A2830">
        <w:rPr>
          <w:rFonts w:ascii="Palatino-Roman" w:eastAsia="Palatino-Roman" w:hAnsi="TheSans-B7Bold" w:cs="TheSans-B7Bold"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TheSans-B7Bold"/>
          <w:bCs/>
          <w:sz w:val="24"/>
          <w:szCs w:val="24"/>
        </w:rPr>
        <w:t>it can reasonably estimate the amount of losses.</w:t>
      </w:r>
      <w:r w:rsidRPr="002A2830">
        <w:rPr>
          <w:rFonts w:ascii="TheSans-B7Bold" w:hAnsi="TheSans-B7Bold" w:cs="TheSans-B7Bold"/>
          <w:b/>
          <w:bCs/>
          <w:sz w:val="32"/>
          <w:szCs w:val="32"/>
        </w:rPr>
        <w:t>SECTION 3 • PRESENTATION AND ANALYSIS</w:t>
      </w:r>
    </w:p>
    <w:p w:rsidR="008A629D" w:rsidRPr="002A2830" w:rsidRDefault="008A629D" w:rsidP="008A629D">
      <w:pPr>
        <w:autoSpaceDE w:val="0"/>
        <w:autoSpaceDN w:val="0"/>
        <w:adjustRightInd w:val="0"/>
        <w:ind w:left="0"/>
        <w:jc w:val="left"/>
        <w:rPr>
          <w:rFonts w:ascii="TheSans-B7Bold" w:hAnsi="TheSans-B7Bold" w:cs="TheSans-B7Bold"/>
          <w:b/>
          <w:bCs/>
          <w:sz w:val="32"/>
          <w:szCs w:val="32"/>
        </w:rPr>
      </w:pPr>
      <w:r w:rsidRPr="002A2830">
        <w:rPr>
          <w:rFonts w:ascii="TheSans-B7Bold" w:hAnsi="TheSans-B7Bold" w:cs="TheSans-B7Bold"/>
          <w:b/>
          <w:bCs/>
          <w:sz w:val="32"/>
          <w:szCs w:val="32"/>
        </w:rPr>
        <w:lastRenderedPageBreak/>
        <w:t>PRESENTATION OF CURRENT LIABILITIES</w:t>
      </w:r>
    </w:p>
    <w:p w:rsidR="00A0563E" w:rsidRPr="002A2830" w:rsidRDefault="008A629D" w:rsidP="00674C3B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Bold" w:hAnsi="Palatino-Bold" w:cs="Palatino-Bold"/>
          <w:b/>
          <w:bCs/>
          <w:sz w:val="24"/>
          <w:szCs w:val="24"/>
        </w:rPr>
        <w:t>In practice, current liabilities are usually recorded and reported in financial</w:t>
      </w:r>
      <w:r w:rsidR="00790CCB" w:rsidRPr="002A2830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Bold" w:hAnsi="Palatino-Bold" w:cs="Palatino-Bold"/>
          <w:b/>
          <w:bCs/>
          <w:sz w:val="24"/>
          <w:szCs w:val="24"/>
        </w:rPr>
        <w:t xml:space="preserve">statements at their full maturity value.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Because of the short time periods involved,</w:t>
      </w:r>
      <w:r w:rsidR="00790CCB" w:rsidRPr="002A2830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="00674C3B" w:rsidRPr="002A2830">
        <w:rPr>
          <w:rFonts w:ascii="Palatino-Roman" w:eastAsia="Palatino-Roman" w:hAnsi="TheSans-B7Bold" w:cs="Palatino-Roman"/>
          <w:sz w:val="24"/>
          <w:szCs w:val="24"/>
        </w:rPr>
        <w:t xml:space="preserve">frequently less than one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year, the difference between the present value of a current</w:t>
      </w:r>
      <w:r w:rsidR="00790CCB" w:rsidRPr="002A2830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="00674C3B" w:rsidRPr="002A2830">
        <w:rPr>
          <w:rFonts w:ascii="Palatino-Roman" w:eastAsia="Palatino-Roman" w:hAnsi="TheSans-B7Bold" w:cs="Palatino-Roman"/>
          <w:sz w:val="24"/>
          <w:szCs w:val="24"/>
        </w:rPr>
        <w:t xml:space="preserve">liability and the maturity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value is usually not large. The profession accepts</w:t>
      </w:r>
      <w:r w:rsidR="00790CCB" w:rsidRPr="002A2830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as immaterial</w:t>
      </w:r>
      <w:r w:rsidR="00674C3B" w:rsidRPr="002A2830">
        <w:rPr>
          <w:rFonts w:ascii="Palatino-Roman" w:eastAsia="Palatino-Roman" w:hAnsi="TheSans-B7Bold" w:cs="Palatino-Roman"/>
          <w:sz w:val="24"/>
          <w:szCs w:val="24"/>
        </w:rPr>
        <w:t xml:space="preserve"> any slight overstatement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of liabilities that results from carrying</w:t>
      </w:r>
      <w:r w:rsidR="00790CCB" w:rsidRPr="002A2830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current liabilities at maturity value. </w:t>
      </w:r>
    </w:p>
    <w:p w:rsidR="00A0563E" w:rsidRPr="002A2830" w:rsidRDefault="00790CCB" w:rsidP="00674C3B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>The current liabilities accounts are commonly presented as the first classification</w:t>
      </w:r>
      <w:r w:rsidR="00674C3B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in the liabilities and stockholders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’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 equity section of the balance sheet. Within the current</w:t>
      </w:r>
      <w:r w:rsidR="00674C3B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liabilities section, companies may list the accounts in order of maturity, in descending</w:t>
      </w:r>
      <w:r w:rsidR="00674C3B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order of amount, or in order of liquidation preference. </w:t>
      </w:r>
      <w:r w:rsidR="00674C3B" w:rsidRPr="002A2830">
        <w:rPr>
          <w:rFonts w:ascii="Palatino-Roman" w:eastAsia="Palatino-Roman" w:hAnsi="TheSans-B7Bold" w:cs="Palatino-Roman"/>
          <w:sz w:val="24"/>
          <w:szCs w:val="24"/>
        </w:rPr>
        <w:t>The following i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llustration presents</w:t>
      </w:r>
      <w:r w:rsidR="00674C3B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an excerpt of Best Buy Company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’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s financial statements that is representative of the reports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of large corporations.</w:t>
      </w:r>
    </w:p>
    <w:p w:rsidR="00A0563E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  <w:r w:rsidRPr="002A2830">
        <w:rPr>
          <w:rFonts w:ascii="TheSans-B7Bold" w:hAnsi="TheSans-B7Bold" w:cs="TheSans-B7Bold"/>
          <w:b/>
          <w:bCs/>
          <w:noProof/>
          <w:sz w:val="24"/>
          <w:szCs w:val="24"/>
        </w:rPr>
        <w:drawing>
          <wp:inline distT="0" distB="0" distL="0" distR="0">
            <wp:extent cx="6852843" cy="3886200"/>
            <wp:effectExtent l="19050" t="0" r="5157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8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Detail and supplemental information concerning current liabilities should be sufficient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to meet the requirement of full disclosure. Companies should clearly identify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secured liabilities, as well as indicate the related assets pledged as collateral. If the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due date of any liability can be extended, a company should disclose the details.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Companies should not offset current liabilities against assets that it will apply to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their liquidation. Finally, current maturities of long-term debt are classified as current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liabilities.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>A major exception exists when a company will pay a currently maturing obligation</w:t>
      </w:r>
      <w:r w:rsidR="00680018"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from assets classified as long-term. </w:t>
      </w:r>
      <w:r w:rsidRPr="002A2830">
        <w:rPr>
          <w:rFonts w:ascii="Palatino-Roman" w:eastAsia="Palatino-Roman" w:cs="Palatino-Roman"/>
          <w:sz w:val="24"/>
          <w:szCs w:val="24"/>
        </w:rPr>
        <w:t>For example, if a company will retire a bond</w:t>
      </w:r>
      <w:r w:rsidR="00680018"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payable using a bond sinking fund that is classified as a long-term asset, it should</w:t>
      </w:r>
      <w:r w:rsidR="00680018"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report the bonds payable in the long-term liabilities section. Presentation of this debt</w:t>
      </w:r>
      <w:r w:rsidR="00680018"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in the current liabilities section would distort the working capital position of the</w:t>
      </w:r>
      <w:r w:rsidR="00680018"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enterprise.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lastRenderedPageBreak/>
        <w:t>If a company excludes a short-term obligation from current liabilities because of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refinancing, it should include the following in the note to the financial statements:</w:t>
      </w:r>
    </w:p>
    <w:p w:rsidR="007A4BA4" w:rsidRPr="002A2830" w:rsidRDefault="007A4BA4" w:rsidP="00BE57B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A general description of the financing agreement.</w:t>
      </w:r>
    </w:p>
    <w:p w:rsidR="007A4BA4" w:rsidRPr="002A2830" w:rsidRDefault="007A4BA4" w:rsidP="00BE57B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The terms of any new obligation incurred or to be incurred.</w:t>
      </w:r>
    </w:p>
    <w:p w:rsidR="007A4BA4" w:rsidRPr="002A2830" w:rsidRDefault="007A4BA4" w:rsidP="00BE57B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The terms of any equity security issued or to be issued.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When a company expects to refinance on a long-term basis by issuing equity securities,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it is not appropriate to include the short-term obligation in stockholders</w:t>
      </w:r>
      <w:r w:rsidRPr="002A2830">
        <w:rPr>
          <w:rFonts w:ascii="Palatino-Roman" w:eastAsia="Palatino-Roman" w:cs="Palatino-Roman" w:hint="eastAsia"/>
          <w:sz w:val="24"/>
          <w:szCs w:val="24"/>
        </w:rPr>
        <w:t>’</w:t>
      </w:r>
      <w:r w:rsidRPr="002A2830">
        <w:rPr>
          <w:rFonts w:ascii="Palatino-Roman" w:eastAsia="Palatino-Roman" w:cs="Palatino-Roman"/>
          <w:sz w:val="24"/>
          <w:szCs w:val="24"/>
        </w:rPr>
        <w:t xml:space="preserve"> equity.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At the date of the balance sheet, the obligation is a liability and not stockholders</w:t>
      </w:r>
      <w:r w:rsidRPr="002A2830">
        <w:rPr>
          <w:rFonts w:ascii="Palatino-Roman" w:eastAsia="Palatino-Roman" w:cs="Palatino-Roman" w:hint="eastAsia"/>
          <w:sz w:val="24"/>
          <w:szCs w:val="24"/>
        </w:rPr>
        <w:t>’</w:t>
      </w:r>
      <w:r w:rsidRPr="002A2830">
        <w:rPr>
          <w:rFonts w:ascii="Palatino-Roman" w:eastAsia="Palatino-Roman" w:cs="Palatino-Roman"/>
          <w:sz w:val="24"/>
          <w:szCs w:val="24"/>
        </w:rPr>
        <w:t xml:space="preserve"> equity.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 xml:space="preserve">Illustration </w:t>
      </w:r>
      <w:r w:rsidR="00680018" w:rsidRPr="002A2830">
        <w:rPr>
          <w:rFonts w:ascii="Palatino-Roman" w:eastAsia="Palatino-Roman" w:cs="Palatino-Roman"/>
          <w:sz w:val="24"/>
          <w:szCs w:val="24"/>
        </w:rPr>
        <w:t>below</w:t>
      </w:r>
      <w:r w:rsidRPr="002A2830">
        <w:rPr>
          <w:rFonts w:ascii="Palatino-Roman" w:eastAsia="Palatino-Roman" w:cs="Palatino-Roman"/>
          <w:sz w:val="24"/>
          <w:szCs w:val="24"/>
        </w:rPr>
        <w:t xml:space="preserve"> shows the disclosure requirements for an actual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refinancing situation.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Cs/>
          <w:sz w:val="24"/>
          <w:szCs w:val="24"/>
        </w:rPr>
      </w:pPr>
      <w:r w:rsidRPr="002A2830">
        <w:rPr>
          <w:rFonts w:ascii="TheSans-B7Bold" w:hAnsi="TheSans-B7Bold" w:cs="TheSans-B7Bold"/>
          <w:bCs/>
          <w:noProof/>
          <w:sz w:val="24"/>
          <w:szCs w:val="24"/>
        </w:rPr>
        <w:drawing>
          <wp:inline distT="0" distB="0" distL="0" distR="0">
            <wp:extent cx="6858000" cy="30020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18" w:rsidRPr="002A2830" w:rsidRDefault="00680018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2A2830">
        <w:rPr>
          <w:rFonts w:ascii="TheSans-B7Bold" w:hAnsi="TheSans-B7Bold" w:cs="TheSans-B7Bold"/>
          <w:b/>
          <w:bCs/>
          <w:sz w:val="28"/>
          <w:szCs w:val="24"/>
        </w:rPr>
        <w:t>PRESENTATION OF CONTINGENCIES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>A company records a loss contingency and a liability if the loss is both probable and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estimable. But, if the loss is </w:t>
      </w:r>
      <w:r w:rsidRPr="002A2830">
        <w:rPr>
          <w:rFonts w:ascii="Palatino-Bold" w:hAnsi="Palatino-Bold" w:cs="Palatino-Bold"/>
          <w:b/>
          <w:bCs/>
          <w:sz w:val="24"/>
          <w:szCs w:val="24"/>
        </w:rPr>
        <w:t>either probable or estimable but not both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, and if there is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at least a </w:t>
      </w:r>
      <w:r w:rsidRPr="002A2830">
        <w:rPr>
          <w:rFonts w:ascii="Palatino-Bold" w:hAnsi="Palatino-Bold" w:cs="Palatino-Bold"/>
          <w:b/>
          <w:bCs/>
          <w:sz w:val="24"/>
          <w:szCs w:val="24"/>
        </w:rPr>
        <w:t xml:space="preserve">reasonable possibility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that a company may have incurred a liability, it must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disclose the following in the notes.</w:t>
      </w:r>
    </w:p>
    <w:p w:rsidR="007A4BA4" w:rsidRPr="002A2830" w:rsidRDefault="007A4BA4" w:rsidP="00BE57B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>The nature of the contingency.</w:t>
      </w:r>
    </w:p>
    <w:p w:rsidR="007A4BA4" w:rsidRPr="002A2830" w:rsidRDefault="007A4BA4" w:rsidP="00BE57B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>An estimate of the possible loss or range of loss or a statement that an estimate cannot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be made.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Illustration 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>below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 presents an extensive litigation disclosure note from the financial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statements of </w:t>
      </w:r>
      <w:r w:rsidRPr="002A2830">
        <w:rPr>
          <w:rFonts w:ascii="Palatino-Bold" w:hAnsi="Palatino-Bold" w:cs="Palatino-Bold"/>
          <w:b/>
          <w:bCs/>
          <w:sz w:val="24"/>
          <w:szCs w:val="24"/>
        </w:rPr>
        <w:t>Raymark Corporation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. The note indicates that Raymark charged actual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losses to operations and that a further liability may exist, but that the company cannot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currently estimate this liability.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Cs/>
          <w:sz w:val="24"/>
          <w:szCs w:val="24"/>
        </w:rPr>
      </w:pPr>
      <w:r w:rsidRPr="002A2830">
        <w:rPr>
          <w:rFonts w:ascii="TheSans-B7Bold" w:hAnsi="TheSans-B7Bold" w:cs="TheSans-B7Bold"/>
          <w:bCs/>
          <w:noProof/>
          <w:sz w:val="24"/>
          <w:szCs w:val="24"/>
        </w:rPr>
        <w:lastRenderedPageBreak/>
        <w:drawing>
          <wp:inline distT="0" distB="0" distL="0" distR="0">
            <wp:extent cx="6858000" cy="502440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2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Companies should disclose certain other contingent liabilities, even though the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possibility of loss may be remote, as follows.</w:t>
      </w:r>
    </w:p>
    <w:p w:rsidR="007A4BA4" w:rsidRPr="002A2830" w:rsidRDefault="007A4BA4" w:rsidP="00BE57B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Guarantees of indebtedness of others.</w:t>
      </w:r>
    </w:p>
    <w:p w:rsidR="007A4BA4" w:rsidRPr="002A2830" w:rsidRDefault="007A4BA4" w:rsidP="00BE57B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 xml:space="preserve">Obligations of commercial banks under </w:t>
      </w:r>
      <w:r w:rsidRPr="002A2830">
        <w:rPr>
          <w:rFonts w:ascii="Palatino-Roman" w:eastAsia="Palatino-Roman" w:cs="Palatino-Roman" w:hint="eastAsia"/>
          <w:sz w:val="24"/>
          <w:szCs w:val="24"/>
        </w:rPr>
        <w:t>“</w:t>
      </w:r>
      <w:r w:rsidRPr="002A2830">
        <w:rPr>
          <w:rFonts w:ascii="Palatino-Roman" w:eastAsia="Palatino-Roman" w:cs="Palatino-Roman"/>
          <w:sz w:val="24"/>
          <w:szCs w:val="24"/>
        </w:rPr>
        <w:t>stand-by letters of credit.</w:t>
      </w:r>
      <w:r w:rsidRPr="002A2830">
        <w:rPr>
          <w:rFonts w:ascii="Palatino-Roman" w:eastAsia="Palatino-Roman" w:cs="Palatino-Roman" w:hint="eastAsia"/>
          <w:sz w:val="24"/>
          <w:szCs w:val="24"/>
        </w:rPr>
        <w:t>”</w:t>
      </w:r>
    </w:p>
    <w:p w:rsidR="007A4BA4" w:rsidRPr="002A2830" w:rsidRDefault="007A4BA4" w:rsidP="00BE57B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Guarantees to repurchase receivables (or any related property) that have been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sold or assigned.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Disclosure should include the nature and amount of the guarantee and, if estimable,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the amount that the company can recover from outside parties.</w:t>
      </w: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>Cities Service Company</w:t>
      </w:r>
      <w:r w:rsidR="00680018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disclosed its guarantees of others</w:t>
      </w:r>
      <w:r w:rsidRPr="002A2830">
        <w:rPr>
          <w:rFonts w:ascii="Palatino-Roman" w:eastAsia="Palatino-Roman" w:cs="Palatino-Roman" w:hint="eastAsia"/>
          <w:sz w:val="24"/>
          <w:szCs w:val="24"/>
        </w:rPr>
        <w:t>’</w:t>
      </w:r>
      <w:r w:rsidRPr="002A2830">
        <w:rPr>
          <w:rFonts w:ascii="Palatino-Roman" w:eastAsia="Palatino-Roman" w:cs="Palatino-Roman"/>
          <w:sz w:val="24"/>
          <w:szCs w:val="24"/>
        </w:rPr>
        <w:t xml:space="preserve"> indebtedness in the following note.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Cs/>
          <w:sz w:val="24"/>
          <w:szCs w:val="24"/>
        </w:rPr>
      </w:pPr>
      <w:r w:rsidRPr="002A2830">
        <w:rPr>
          <w:rFonts w:ascii="TheSans-B7Bold" w:hAnsi="TheSans-B7Bold" w:cs="TheSans-B7Bold"/>
          <w:bCs/>
          <w:noProof/>
          <w:sz w:val="24"/>
          <w:szCs w:val="24"/>
        </w:rPr>
        <w:drawing>
          <wp:inline distT="0" distB="0" distL="0" distR="0">
            <wp:extent cx="6858000" cy="180711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0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18" w:rsidRPr="002A2830" w:rsidRDefault="00680018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8"/>
          <w:szCs w:val="24"/>
        </w:rPr>
      </w:pPr>
      <w:r w:rsidRPr="002A2830">
        <w:rPr>
          <w:rFonts w:ascii="TheSans-B7Bold" w:hAnsi="TheSans-B7Bold" w:cs="TheSans-B7Bold"/>
          <w:b/>
          <w:bCs/>
          <w:sz w:val="28"/>
          <w:szCs w:val="24"/>
        </w:rPr>
        <w:lastRenderedPageBreak/>
        <w:t>ANALYSIS OF CURRENT LIABILITIES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>The distinction between current liabilities and long-term debt is important. It provides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information about the liquidity of the company. Liquidity regarding a liability is the expected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time to elapse before its payment. In other words, a liability soon to be paid is a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current liability. Aliquid company is better able to withstand a financial downturn. Also,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it has a better chance of taking advantage of investment opportunities that develop.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>Analysts use certain basic ratios such as net cash flow provided by operating activities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to current liabilities, and the turnover ratios for receivables and inventory, to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assess liquidity. Two other ratios used to examine liquidity are the current ratio and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the acid-test ratio.</w:t>
      </w:r>
    </w:p>
    <w:p w:rsidR="00680018" w:rsidRPr="002A2830" w:rsidRDefault="00680018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  <w:r w:rsidRPr="002A2830">
        <w:rPr>
          <w:rFonts w:ascii="TheSans-B7Bold" w:hAnsi="TheSans-B7Bold" w:cs="TheSans-B7Bold"/>
          <w:b/>
          <w:bCs/>
          <w:sz w:val="24"/>
          <w:szCs w:val="24"/>
        </w:rPr>
        <w:t>Current Ratio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hAnsi="TheSans-B7Bold" w:cs="Palatino-Roman"/>
          <w:sz w:val="24"/>
          <w:szCs w:val="24"/>
        </w:rPr>
      </w:pP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The </w:t>
      </w:r>
      <w:r w:rsidRPr="002A2830">
        <w:rPr>
          <w:rFonts w:ascii="Palatino-Bold" w:hAnsi="Palatino-Bold" w:cs="Palatino-Bold"/>
          <w:b/>
          <w:bCs/>
          <w:sz w:val="24"/>
          <w:szCs w:val="24"/>
        </w:rPr>
        <w:t xml:space="preserve">current ratio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 xml:space="preserve">is the ratio of total current assets to total current liabilities. </w:t>
      </w:r>
      <w:r w:rsidR="00680018" w:rsidRPr="002A2830">
        <w:rPr>
          <w:rFonts w:ascii="Palatino-Roman" w:eastAsia="Palatino-Roman" w:hAnsi="TheSans-B7Bold" w:cs="Palatino-Roman"/>
          <w:sz w:val="24"/>
          <w:szCs w:val="24"/>
        </w:rPr>
        <w:t>The follow</w:t>
      </w:r>
      <w:r w:rsidR="00CB2B3A" w:rsidRPr="002A2830">
        <w:rPr>
          <w:rFonts w:ascii="Palatino-Roman" w:eastAsia="Palatino-Roman" w:hAnsi="TheSans-B7Bold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hAnsi="TheSans-B7Bold" w:cs="Palatino-Roman"/>
          <w:sz w:val="24"/>
          <w:szCs w:val="24"/>
        </w:rPr>
        <w:t>shows its formula.</w:t>
      </w:r>
      <w:r w:rsidR="00CB2B3A" w:rsidRPr="002A2830">
        <w:rPr>
          <w:rFonts w:ascii="Palatino-Roman" w:eastAsia="Palatino-Roman" w:hAnsi="TheSans-B7Bold" w:cs="Palatino-Roman"/>
          <w:sz w:val="24"/>
          <w:szCs w:val="24"/>
        </w:rPr>
        <w:t xml:space="preserve">    Current Ratio    =  </w:t>
      </w:r>
      <w:r w:rsidR="00CB2B3A" w:rsidRPr="002A2830">
        <w:rPr>
          <w:rFonts w:ascii="Palatino-Roman" w:eastAsia="Palatino-Roman" w:hAnsi="TheSans-B7Bold" w:cs="Palatino-Roman"/>
          <w:sz w:val="24"/>
          <w:szCs w:val="24"/>
          <w:u w:val="single"/>
        </w:rPr>
        <w:t>Current Asset</w:t>
      </w:r>
      <w:r w:rsidR="00CB2B3A" w:rsidRPr="002A2830">
        <w:rPr>
          <w:rFonts w:ascii="Palatino-Roman" w:eastAsia="Palatino-Roman" w:hAnsi="TheSans-B7Bold" w:cs="Palatino-Roman"/>
          <w:sz w:val="24"/>
          <w:szCs w:val="24"/>
        </w:rPr>
        <w:t xml:space="preserve">    </w:t>
      </w:r>
    </w:p>
    <w:p w:rsidR="007A4BA4" w:rsidRPr="002A2830" w:rsidRDefault="00CB2B3A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Cs/>
          <w:sz w:val="24"/>
          <w:szCs w:val="24"/>
        </w:rPr>
      </w:pPr>
      <w:r w:rsidRPr="002A2830">
        <w:rPr>
          <w:rFonts w:ascii="TheSans-B7Bold" w:hAnsi="TheSans-B7Bold" w:cs="TheSans-B7Bold"/>
          <w:bCs/>
          <w:sz w:val="24"/>
          <w:szCs w:val="24"/>
        </w:rPr>
        <w:t xml:space="preserve">                                                                                      Current Liability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 xml:space="preserve">The ratio is frequently expressed as </w:t>
      </w:r>
      <w:r w:rsidR="00CB2B3A" w:rsidRPr="002A2830">
        <w:rPr>
          <w:rFonts w:ascii="Palatino-Roman" w:eastAsia="Palatino-Roman" w:cs="Palatino-Roman"/>
          <w:sz w:val="24"/>
          <w:szCs w:val="24"/>
        </w:rPr>
        <w:t>coverage</w:t>
      </w:r>
      <w:r w:rsidRPr="002A2830">
        <w:rPr>
          <w:rFonts w:ascii="Palatino-Roman" w:eastAsia="Palatino-Roman" w:cs="Palatino-Roman"/>
          <w:sz w:val="24"/>
          <w:szCs w:val="24"/>
        </w:rPr>
        <w:t xml:space="preserve"> of so many times. Sometimes it is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 xml:space="preserve">called the </w:t>
      </w: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working capital ratio </w:t>
      </w:r>
      <w:r w:rsidRPr="002A2830">
        <w:rPr>
          <w:rFonts w:ascii="Palatino-Roman" w:eastAsia="Palatino-Roman" w:cs="Palatino-Roman"/>
          <w:sz w:val="24"/>
          <w:szCs w:val="24"/>
        </w:rPr>
        <w:t>because working capital is the excess of current assets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over current liabilities.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A satisfactory current ratio does not disclose that a portion of the current assets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may be tied up in slow-moving inventories. With inventories, especially raw materials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and work in process, there is a question of how long it will take to transform them into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the finished product and what ultimately will be realized in the sale of the merchandise.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Eliminating the inventories, along with any prepaid expenses, from the amount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of current assets might provide better information for short-term creditors. Therefore,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some analysts use the acid-test ratio in place of the current ratio.</w:t>
      </w:r>
    </w:p>
    <w:p w:rsidR="00CB2B3A" w:rsidRPr="002A2830" w:rsidRDefault="00CB2B3A" w:rsidP="00674C3B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14"/>
          <w:szCs w:val="24"/>
        </w:rPr>
      </w:pP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eastAsia="Palatino-Roman" w:hAnsi="TheSans-B7Bold" w:cs="TheSans-B7Bold"/>
          <w:b/>
          <w:bCs/>
          <w:sz w:val="24"/>
          <w:szCs w:val="24"/>
        </w:rPr>
      </w:pPr>
      <w:r w:rsidRPr="002A2830">
        <w:rPr>
          <w:rFonts w:ascii="TheSans-B7Bold" w:eastAsia="Palatino-Roman" w:hAnsi="TheSans-B7Bold" w:cs="TheSans-B7Bold"/>
          <w:b/>
          <w:bCs/>
          <w:sz w:val="24"/>
          <w:szCs w:val="24"/>
        </w:rPr>
        <w:t>Acid-Test Ratio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 xml:space="preserve">Many analysts favor an </w:t>
      </w: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acid-test </w:t>
      </w:r>
      <w:r w:rsidRPr="002A2830">
        <w:rPr>
          <w:rFonts w:ascii="Palatino-Roman" w:eastAsia="Palatino-Roman" w:cs="Palatino-Roman"/>
          <w:sz w:val="24"/>
          <w:szCs w:val="24"/>
        </w:rPr>
        <w:t xml:space="preserve">or </w:t>
      </w: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quick ratio </w:t>
      </w:r>
      <w:r w:rsidRPr="002A2830">
        <w:rPr>
          <w:rFonts w:ascii="Palatino-Roman" w:eastAsia="Palatino-Roman" w:cs="Palatino-Roman"/>
          <w:sz w:val="24"/>
          <w:szCs w:val="24"/>
        </w:rPr>
        <w:t>that relates total current liabilities to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 xml:space="preserve">cash, marketable securities, and receivables. </w:t>
      </w:r>
      <w:r w:rsidR="00CB2B3A" w:rsidRPr="002A2830">
        <w:rPr>
          <w:rFonts w:ascii="Palatino-Roman" w:eastAsia="Palatino-Roman" w:cs="Palatino-Roman"/>
          <w:sz w:val="24"/>
          <w:szCs w:val="24"/>
        </w:rPr>
        <w:t>The following</w:t>
      </w:r>
      <w:r w:rsidRPr="002A2830">
        <w:rPr>
          <w:rFonts w:ascii="Palatino-Roman" w:eastAsia="Palatino-Roman" w:cs="Palatino-Roman"/>
          <w:sz w:val="24"/>
          <w:szCs w:val="24"/>
        </w:rPr>
        <w:t xml:space="preserve"> shows the formula for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this ratio. As you can see, the acid-test ratio does not include inventories.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Cs/>
          <w:sz w:val="24"/>
          <w:szCs w:val="24"/>
        </w:rPr>
      </w:pPr>
      <w:r w:rsidRPr="002A2830">
        <w:rPr>
          <w:rFonts w:ascii="TheSans-B7Bold" w:hAnsi="TheSans-B7Bold" w:cs="TheSans-B7Bold"/>
          <w:bCs/>
          <w:noProof/>
          <w:sz w:val="24"/>
          <w:szCs w:val="24"/>
        </w:rPr>
        <w:drawing>
          <wp:inline distT="0" distB="0" distL="0" distR="0">
            <wp:extent cx="6858000" cy="5905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Bold" w:eastAsia="Palatino-Roman" w:hAnsi="Palatino-Bold" w:cs="Palatino-Bold"/>
          <w:b/>
          <w:bCs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 xml:space="preserve">To illustrate the computation of these two ratios, we use the information for </w:t>
      </w: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>Best</w:t>
      </w:r>
      <w:r w:rsidR="00CB2B3A"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Buy Co. </w:t>
      </w:r>
      <w:r w:rsidR="00CB2B3A" w:rsidRPr="002A2830">
        <w:rPr>
          <w:rFonts w:ascii="Palatino-Bold" w:eastAsia="Palatino-Roman" w:hAnsi="Palatino-Bold" w:cs="Palatino-Bold"/>
          <w:bCs/>
          <w:sz w:val="24"/>
          <w:szCs w:val="24"/>
        </w:rPr>
        <w:t>above</w:t>
      </w:r>
      <w:r w:rsidRPr="002A2830">
        <w:rPr>
          <w:rFonts w:ascii="Palatino-Roman" w:eastAsia="Palatino-Roman" w:cs="Palatino-Roman"/>
          <w:sz w:val="24"/>
          <w:szCs w:val="24"/>
        </w:rPr>
        <w:t xml:space="preserve">. </w:t>
      </w:r>
      <w:r w:rsidR="00CB2B3A" w:rsidRPr="002A2830">
        <w:rPr>
          <w:rFonts w:ascii="Palatino-Roman" w:eastAsia="Palatino-Roman" w:cs="Palatino-Roman"/>
          <w:sz w:val="24"/>
          <w:szCs w:val="24"/>
        </w:rPr>
        <w:t>Below is</w:t>
      </w:r>
      <w:r w:rsidRPr="002A2830">
        <w:rPr>
          <w:rFonts w:ascii="Palatino-Roman" w:eastAsia="Palatino-Roman" w:cs="Palatino-Roman"/>
          <w:sz w:val="24"/>
          <w:szCs w:val="24"/>
        </w:rPr>
        <w:t xml:space="preserve"> the computation</w:t>
      </w:r>
      <w:r w:rsidR="00CB2B3A"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of the current and acid-test ratios for Best Buy.</w:t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Cs/>
          <w:sz w:val="24"/>
          <w:szCs w:val="24"/>
        </w:rPr>
      </w:pPr>
      <w:r w:rsidRPr="002A2830">
        <w:rPr>
          <w:rFonts w:ascii="TheSans-B7Bold" w:hAnsi="TheSans-B7Bold" w:cs="TheSans-B7Bold"/>
          <w:bCs/>
          <w:noProof/>
          <w:sz w:val="24"/>
          <w:szCs w:val="24"/>
        </w:rPr>
        <w:drawing>
          <wp:inline distT="0" distB="0" distL="0" distR="0">
            <wp:extent cx="6840070" cy="11049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0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A4" w:rsidRPr="002A2830" w:rsidRDefault="007A4BA4" w:rsidP="00674C3B">
      <w:pPr>
        <w:autoSpaceDE w:val="0"/>
        <w:autoSpaceDN w:val="0"/>
        <w:adjustRightInd w:val="0"/>
        <w:ind w:left="0"/>
        <w:rPr>
          <w:rFonts w:ascii="Palatino-Roman" w:eastAsia="Palatino-Roman" w:cs="Palatino-Roman"/>
          <w:sz w:val="24"/>
          <w:szCs w:val="24"/>
        </w:rPr>
      </w:pPr>
      <w:r w:rsidRPr="002A2830">
        <w:rPr>
          <w:rFonts w:ascii="Palatino-Roman" w:eastAsia="Palatino-Roman" w:cs="Palatino-Roman"/>
          <w:sz w:val="24"/>
          <w:szCs w:val="24"/>
        </w:rPr>
        <w:t>From this information, it appears that Best Buy</w:t>
      </w:r>
      <w:r w:rsidRPr="002A2830">
        <w:rPr>
          <w:rFonts w:ascii="Palatino-Roman" w:eastAsia="Palatino-Roman" w:cs="Palatino-Roman" w:hint="eastAsia"/>
          <w:sz w:val="24"/>
          <w:szCs w:val="24"/>
        </w:rPr>
        <w:t>’</w:t>
      </w:r>
      <w:r w:rsidRPr="002A2830">
        <w:rPr>
          <w:rFonts w:ascii="Palatino-Roman" w:eastAsia="Palatino-Roman" w:cs="Palatino-Roman"/>
          <w:sz w:val="24"/>
          <w:szCs w:val="24"/>
        </w:rPr>
        <w:t>s current position is adequate. However,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 xml:space="preserve">the acid-test ratio is well below 1. A comparison to another retailer, </w:t>
      </w:r>
      <w:r w:rsidRPr="002A2830">
        <w:rPr>
          <w:rFonts w:ascii="Palatino-Bold" w:eastAsia="Palatino-Roman" w:hAnsi="Palatino-Bold" w:cs="Palatino-Bold"/>
          <w:b/>
          <w:bCs/>
          <w:sz w:val="24"/>
          <w:szCs w:val="24"/>
        </w:rPr>
        <w:t>Circuit City</w:t>
      </w:r>
      <w:r w:rsidRPr="002A2830">
        <w:rPr>
          <w:rFonts w:ascii="Palatino-Roman" w:eastAsia="Palatino-Roman" w:cs="Palatino-Roman"/>
          <w:sz w:val="24"/>
          <w:szCs w:val="24"/>
        </w:rPr>
        <w:t>,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>whose current ratio is 1.68 and whose acid-test ratio is 0.65, indicates that Best Buy is</w:t>
      </w:r>
      <w:r w:rsidR="00CB2B3A" w:rsidRPr="002A2830">
        <w:rPr>
          <w:rFonts w:ascii="Palatino-Roman" w:eastAsia="Palatino-Roman" w:cs="Palatino-Roman"/>
          <w:sz w:val="24"/>
          <w:szCs w:val="24"/>
        </w:rPr>
        <w:t xml:space="preserve"> </w:t>
      </w:r>
      <w:r w:rsidRPr="002A2830">
        <w:rPr>
          <w:rFonts w:ascii="Palatino-Roman" w:eastAsia="Palatino-Roman" w:cs="Palatino-Roman"/>
          <w:sz w:val="24"/>
          <w:szCs w:val="24"/>
        </w:rPr>
        <w:t xml:space="preserve">carrying </w:t>
      </w:r>
      <w:r w:rsidR="00CB2B3A" w:rsidRPr="002A2830">
        <w:rPr>
          <w:rFonts w:ascii="Palatino-Roman" w:eastAsia="Palatino-Roman" w:cs="Palatino-Roman"/>
          <w:sz w:val="24"/>
          <w:szCs w:val="24"/>
        </w:rPr>
        <w:t>fewer inventories</w:t>
      </w:r>
      <w:r w:rsidRPr="002A2830">
        <w:rPr>
          <w:rFonts w:ascii="Palatino-Roman" w:eastAsia="Palatino-Roman" w:cs="Palatino-Roman"/>
          <w:sz w:val="24"/>
          <w:szCs w:val="24"/>
        </w:rPr>
        <w:t xml:space="preserve"> than its industry counterparts.</w:t>
      </w:r>
    </w:p>
    <w:p w:rsidR="00A0563E" w:rsidRPr="002A2830" w:rsidRDefault="00A0563E" w:rsidP="00674C3B">
      <w:pPr>
        <w:autoSpaceDE w:val="0"/>
        <w:autoSpaceDN w:val="0"/>
        <w:adjustRightInd w:val="0"/>
        <w:ind w:left="0"/>
        <w:rPr>
          <w:rFonts w:ascii="TheSans-B7Bold" w:hAnsi="TheSans-B7Bold" w:cs="TheSans-B7Bold"/>
          <w:b/>
          <w:bCs/>
          <w:sz w:val="24"/>
          <w:szCs w:val="24"/>
        </w:rPr>
      </w:pPr>
    </w:p>
    <w:sectPr w:rsidR="00A0563E" w:rsidRPr="002A2830" w:rsidSect="00C92C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11" w:rsidRDefault="00A86C11" w:rsidP="001634C1">
      <w:r>
        <w:separator/>
      </w:r>
    </w:p>
  </w:endnote>
  <w:endnote w:type="continuationSeparator" w:id="0">
    <w:p w:rsidR="00A86C11" w:rsidRDefault="00A86C11" w:rsidP="0016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Black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799"/>
      <w:docPartObj>
        <w:docPartGallery w:val="Page Numbers (Bottom of Page)"/>
        <w:docPartUnique/>
      </w:docPartObj>
    </w:sdtPr>
    <w:sdtContent>
      <w:p w:rsidR="00790CCB" w:rsidRDefault="00F248C8" w:rsidP="00543EF6">
        <w:pPr>
          <w:pStyle w:val="Footer"/>
          <w:jc w:val="left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790CCB" w:rsidRDefault="00790CCB" w:rsidP="00543EF6">
        <w:pPr>
          <w:pStyle w:val="Footer"/>
          <w:jc w:val="left"/>
        </w:pPr>
        <w:r>
          <w:t xml:space="preserve">Financial Accounting II, CH 05 Handout                                                                                                                                     </w:t>
        </w:r>
        <w:fldSimple w:instr=" PAGE    \* MERGEFORMAT ">
          <w:r w:rsidR="00F248C8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11" w:rsidRDefault="00A86C11" w:rsidP="001634C1">
      <w:r>
        <w:separator/>
      </w:r>
    </w:p>
  </w:footnote>
  <w:footnote w:type="continuationSeparator" w:id="0">
    <w:p w:rsidR="00A86C11" w:rsidRDefault="00A86C11" w:rsidP="00163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15F"/>
    <w:multiLevelType w:val="hybridMultilevel"/>
    <w:tmpl w:val="AF8E511A"/>
    <w:lvl w:ilvl="0" w:tplc="2DDCB9D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A4282"/>
    <w:multiLevelType w:val="hybridMultilevel"/>
    <w:tmpl w:val="093CC368"/>
    <w:lvl w:ilvl="0" w:tplc="981E446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6A7"/>
    <w:multiLevelType w:val="hybridMultilevel"/>
    <w:tmpl w:val="A232C1D0"/>
    <w:lvl w:ilvl="0" w:tplc="CBB455D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7463"/>
    <w:multiLevelType w:val="hybridMultilevel"/>
    <w:tmpl w:val="7024AF4C"/>
    <w:lvl w:ilvl="0" w:tplc="97120DEC">
      <w:start w:val="1"/>
      <w:numFmt w:val="decimal"/>
      <w:lvlText w:val="%1."/>
      <w:lvlJc w:val="left"/>
      <w:pPr>
        <w:ind w:left="360" w:hanging="360"/>
      </w:pPr>
      <w:rPr>
        <w:rFonts w:ascii="TheSansBlack-Plain" w:eastAsiaTheme="minorHAnsi" w:hAnsi="TheSansBlack-Plain" w:cs="TheSansBlack-Pla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903FD"/>
    <w:multiLevelType w:val="hybridMultilevel"/>
    <w:tmpl w:val="E7321BD0"/>
    <w:lvl w:ilvl="0" w:tplc="CBB455D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3B47"/>
    <w:multiLevelType w:val="hybridMultilevel"/>
    <w:tmpl w:val="85B84E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136A5E"/>
    <w:multiLevelType w:val="hybridMultilevel"/>
    <w:tmpl w:val="828A5862"/>
    <w:lvl w:ilvl="0" w:tplc="8AC2DEC4">
      <w:start w:val="1"/>
      <w:numFmt w:val="lowerLetter"/>
      <w:lvlText w:val="(%1)"/>
      <w:lvlJc w:val="left"/>
      <w:pPr>
        <w:ind w:left="915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07E2C"/>
    <w:multiLevelType w:val="hybridMultilevel"/>
    <w:tmpl w:val="75523946"/>
    <w:lvl w:ilvl="0" w:tplc="99DE649E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62C67"/>
    <w:multiLevelType w:val="hybridMultilevel"/>
    <w:tmpl w:val="75769384"/>
    <w:lvl w:ilvl="0" w:tplc="CBB455D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85A80"/>
    <w:multiLevelType w:val="hybridMultilevel"/>
    <w:tmpl w:val="46405A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5040DE"/>
    <w:multiLevelType w:val="hybridMultilevel"/>
    <w:tmpl w:val="B8FE97F4"/>
    <w:lvl w:ilvl="0" w:tplc="9746C94A">
      <w:start w:val="1"/>
      <w:numFmt w:val="lowerLetter"/>
      <w:lvlText w:val="(%1)"/>
      <w:lvlJc w:val="left"/>
      <w:pPr>
        <w:ind w:left="81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93019"/>
    <w:multiLevelType w:val="hybridMultilevel"/>
    <w:tmpl w:val="6F7AFFDE"/>
    <w:lvl w:ilvl="0" w:tplc="981E4464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C496A"/>
    <w:multiLevelType w:val="hybridMultilevel"/>
    <w:tmpl w:val="7576BEC0"/>
    <w:lvl w:ilvl="0" w:tplc="E724E3D2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74437"/>
    <w:multiLevelType w:val="hybridMultilevel"/>
    <w:tmpl w:val="41A277FE"/>
    <w:lvl w:ilvl="0" w:tplc="017420A8">
      <w:start w:val="1"/>
      <w:numFmt w:val="decimal"/>
      <w:lvlText w:val="%1."/>
      <w:lvlJc w:val="left"/>
      <w:pPr>
        <w:ind w:left="405" w:hanging="405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EB582C"/>
    <w:multiLevelType w:val="hybridMultilevel"/>
    <w:tmpl w:val="6824C2D2"/>
    <w:lvl w:ilvl="0" w:tplc="24A409CE">
      <w:start w:val="1"/>
      <w:numFmt w:val="decimal"/>
      <w:lvlText w:val="%1."/>
      <w:lvlJc w:val="left"/>
      <w:pPr>
        <w:ind w:left="360" w:hanging="360"/>
      </w:pPr>
      <w:rPr>
        <w:rFonts w:ascii="TheSansBlack-Plain" w:hAnsi="TheSansBlack-Plain" w:cs="TheSansBlack-Plain" w:hint="default"/>
        <w:b/>
        <w:color w:val="0800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3C21"/>
    <w:rsid w:val="00012092"/>
    <w:rsid w:val="00034050"/>
    <w:rsid w:val="00092233"/>
    <w:rsid w:val="00094F36"/>
    <w:rsid w:val="0009541A"/>
    <w:rsid w:val="000964F4"/>
    <w:rsid w:val="000B1D3D"/>
    <w:rsid w:val="000B34DD"/>
    <w:rsid w:val="00123C21"/>
    <w:rsid w:val="0016046E"/>
    <w:rsid w:val="001634C1"/>
    <w:rsid w:val="00167205"/>
    <w:rsid w:val="001800F1"/>
    <w:rsid w:val="001A26DD"/>
    <w:rsid w:val="001D3CF6"/>
    <w:rsid w:val="001F15CE"/>
    <w:rsid w:val="002229E0"/>
    <w:rsid w:val="0023289C"/>
    <w:rsid w:val="00285A11"/>
    <w:rsid w:val="00296087"/>
    <w:rsid w:val="002A17CC"/>
    <w:rsid w:val="002A2830"/>
    <w:rsid w:val="002A3207"/>
    <w:rsid w:val="002B4118"/>
    <w:rsid w:val="002B6D88"/>
    <w:rsid w:val="002C00B8"/>
    <w:rsid w:val="002D7276"/>
    <w:rsid w:val="002E1C14"/>
    <w:rsid w:val="002E62EB"/>
    <w:rsid w:val="003033BF"/>
    <w:rsid w:val="00331A32"/>
    <w:rsid w:val="00331E5B"/>
    <w:rsid w:val="003349F2"/>
    <w:rsid w:val="00360D4D"/>
    <w:rsid w:val="003647BE"/>
    <w:rsid w:val="003B3742"/>
    <w:rsid w:val="004C163C"/>
    <w:rsid w:val="004E329A"/>
    <w:rsid w:val="004E5EFB"/>
    <w:rsid w:val="004E7348"/>
    <w:rsid w:val="004F681E"/>
    <w:rsid w:val="00503B51"/>
    <w:rsid w:val="00543EF6"/>
    <w:rsid w:val="0058040C"/>
    <w:rsid w:val="00581E1D"/>
    <w:rsid w:val="005957A0"/>
    <w:rsid w:val="00595E6A"/>
    <w:rsid w:val="005D666B"/>
    <w:rsid w:val="00633E60"/>
    <w:rsid w:val="0065410C"/>
    <w:rsid w:val="0067326E"/>
    <w:rsid w:val="00674C3B"/>
    <w:rsid w:val="00680018"/>
    <w:rsid w:val="00692626"/>
    <w:rsid w:val="006A3A8E"/>
    <w:rsid w:val="006B32EB"/>
    <w:rsid w:val="006B75E3"/>
    <w:rsid w:val="006D4A3B"/>
    <w:rsid w:val="00711E40"/>
    <w:rsid w:val="00715F84"/>
    <w:rsid w:val="007214D9"/>
    <w:rsid w:val="007447E8"/>
    <w:rsid w:val="00750F76"/>
    <w:rsid w:val="007546DF"/>
    <w:rsid w:val="00771BEE"/>
    <w:rsid w:val="00790CCB"/>
    <w:rsid w:val="007A4BA4"/>
    <w:rsid w:val="007A6461"/>
    <w:rsid w:val="007B407C"/>
    <w:rsid w:val="007F713E"/>
    <w:rsid w:val="00810355"/>
    <w:rsid w:val="00874CED"/>
    <w:rsid w:val="00884ED2"/>
    <w:rsid w:val="008A629D"/>
    <w:rsid w:val="008B1385"/>
    <w:rsid w:val="008C5EB5"/>
    <w:rsid w:val="008D4F25"/>
    <w:rsid w:val="008E018F"/>
    <w:rsid w:val="00941FDC"/>
    <w:rsid w:val="00991041"/>
    <w:rsid w:val="0099113C"/>
    <w:rsid w:val="009B5104"/>
    <w:rsid w:val="009F644A"/>
    <w:rsid w:val="00A0347A"/>
    <w:rsid w:val="00A0563E"/>
    <w:rsid w:val="00A06F4C"/>
    <w:rsid w:val="00A21118"/>
    <w:rsid w:val="00A25566"/>
    <w:rsid w:val="00A27E4A"/>
    <w:rsid w:val="00A5202F"/>
    <w:rsid w:val="00A86C11"/>
    <w:rsid w:val="00AB6B33"/>
    <w:rsid w:val="00AF407C"/>
    <w:rsid w:val="00AF41E0"/>
    <w:rsid w:val="00B2771D"/>
    <w:rsid w:val="00B70C94"/>
    <w:rsid w:val="00B82C17"/>
    <w:rsid w:val="00B8649C"/>
    <w:rsid w:val="00B97F01"/>
    <w:rsid w:val="00BB0FF7"/>
    <w:rsid w:val="00BD0639"/>
    <w:rsid w:val="00BE3D50"/>
    <w:rsid w:val="00BE4340"/>
    <w:rsid w:val="00BE57BF"/>
    <w:rsid w:val="00C16749"/>
    <w:rsid w:val="00C31D2C"/>
    <w:rsid w:val="00C516DB"/>
    <w:rsid w:val="00C52081"/>
    <w:rsid w:val="00C82A04"/>
    <w:rsid w:val="00C90FD5"/>
    <w:rsid w:val="00C92C92"/>
    <w:rsid w:val="00CB2B3A"/>
    <w:rsid w:val="00CB7542"/>
    <w:rsid w:val="00CE17C6"/>
    <w:rsid w:val="00D15C3A"/>
    <w:rsid w:val="00D24F7D"/>
    <w:rsid w:val="00D4300B"/>
    <w:rsid w:val="00D44929"/>
    <w:rsid w:val="00D651EF"/>
    <w:rsid w:val="00D74CC7"/>
    <w:rsid w:val="00DC6751"/>
    <w:rsid w:val="00DD0E5D"/>
    <w:rsid w:val="00DE0073"/>
    <w:rsid w:val="00DE232D"/>
    <w:rsid w:val="00DE2A52"/>
    <w:rsid w:val="00DF517B"/>
    <w:rsid w:val="00DF6A70"/>
    <w:rsid w:val="00E02FD0"/>
    <w:rsid w:val="00E05AB1"/>
    <w:rsid w:val="00E20CBB"/>
    <w:rsid w:val="00E50E70"/>
    <w:rsid w:val="00E52E3D"/>
    <w:rsid w:val="00E631D6"/>
    <w:rsid w:val="00E71123"/>
    <w:rsid w:val="00E9596F"/>
    <w:rsid w:val="00EE57C4"/>
    <w:rsid w:val="00F248C8"/>
    <w:rsid w:val="00F64D79"/>
    <w:rsid w:val="00F77A98"/>
    <w:rsid w:val="00F82F8D"/>
    <w:rsid w:val="00FA7BE9"/>
    <w:rsid w:val="00F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4C1"/>
  </w:style>
  <w:style w:type="paragraph" w:styleId="Footer">
    <w:name w:val="footer"/>
    <w:basedOn w:val="Normal"/>
    <w:link w:val="FooterChar"/>
    <w:uiPriority w:val="99"/>
    <w:unhideWhenUsed/>
    <w:rsid w:val="00163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</dc:creator>
  <cp:lastModifiedBy>Mesele</cp:lastModifiedBy>
  <cp:revision>2</cp:revision>
  <dcterms:created xsi:type="dcterms:W3CDTF">2016-09-28T04:49:00Z</dcterms:created>
  <dcterms:modified xsi:type="dcterms:W3CDTF">2016-09-28T04:49:00Z</dcterms:modified>
</cp:coreProperties>
</file>